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28" w:rsidRPr="001211DB" w:rsidRDefault="00A52928" w:rsidP="00A52928">
      <w:pPr>
        <w:jc w:val="center"/>
        <w:rPr>
          <w:rFonts w:asciiTheme="majorHAnsi" w:hAnsiTheme="majorHAnsi"/>
          <w:b/>
          <w:sz w:val="28"/>
        </w:rPr>
      </w:pPr>
      <w:r w:rsidRPr="001211DB">
        <w:rPr>
          <w:rFonts w:asciiTheme="majorHAnsi" w:hAnsiTheme="majorHAnsi"/>
          <w:b/>
          <w:sz w:val="28"/>
        </w:rPr>
        <w:t xml:space="preserve">Vývoj a vyhodnocení jednotlivých témat tvořících pilíře trvale udržitelného rozvoje </w:t>
      </w:r>
    </w:p>
    <w:p w:rsidR="003601D0" w:rsidRPr="001211DB" w:rsidRDefault="00A52928" w:rsidP="00A52928">
      <w:pPr>
        <w:jc w:val="center"/>
        <w:rPr>
          <w:rFonts w:asciiTheme="majorHAnsi" w:hAnsiTheme="majorHAnsi"/>
          <w:b/>
          <w:sz w:val="28"/>
        </w:rPr>
      </w:pPr>
      <w:r w:rsidRPr="001211DB">
        <w:rPr>
          <w:rFonts w:asciiTheme="majorHAnsi" w:hAnsiTheme="majorHAnsi"/>
          <w:b/>
          <w:sz w:val="28"/>
        </w:rPr>
        <w:t>(mezi lety 2010 -2012 v ORP Blatná)</w:t>
      </w:r>
    </w:p>
    <w:p w:rsidR="00A52928" w:rsidRPr="00A52928" w:rsidRDefault="00A52928" w:rsidP="00A52928">
      <w:pPr>
        <w:jc w:val="center"/>
        <w:rPr>
          <w:rFonts w:asciiTheme="majorHAnsi" w:hAnsiTheme="majorHAnsi"/>
          <w:sz w:val="20"/>
        </w:rPr>
      </w:pPr>
      <w:r w:rsidRPr="00A52928">
        <w:rPr>
          <w:rFonts w:asciiTheme="majorHAnsi" w:hAnsiTheme="majorHAnsi"/>
          <w:sz w:val="20"/>
        </w:rPr>
        <w:t>tento dokument je součástí úplné aktualizace ÚAP ORP Blatná 2012</w:t>
      </w:r>
    </w:p>
    <w:p w:rsidR="00A52928" w:rsidRDefault="00A52928" w:rsidP="00A52928">
      <w:pPr>
        <w:jc w:val="center"/>
        <w:rPr>
          <w:rFonts w:asciiTheme="majorHAnsi" w:hAnsiTheme="majorHAnsi"/>
          <w:b/>
        </w:rPr>
      </w:pPr>
    </w:p>
    <w:p w:rsidR="00A52928" w:rsidRDefault="00A52928" w:rsidP="00A52928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Zpracoval: Odbor výstavby a územního plánování MěÚ Blatná, prosinec 2012</w:t>
      </w:r>
    </w:p>
    <w:p w:rsidR="00A52928" w:rsidRDefault="00A52928">
      <w:pPr>
        <w:rPr>
          <w:rFonts w:asciiTheme="majorHAnsi" w:hAnsiTheme="majorHAnsi"/>
          <w:b/>
        </w:rPr>
      </w:pPr>
    </w:p>
    <w:p w:rsidR="00A52928" w:rsidRPr="001211DB" w:rsidRDefault="001211DB" w:rsidP="001211DB">
      <w:pPr>
        <w:pStyle w:val="Odstavecseseznamem"/>
        <w:numPr>
          <w:ilvl w:val="0"/>
          <w:numId w:val="3"/>
        </w:numPr>
        <w:rPr>
          <w:rFonts w:asciiTheme="majorHAnsi" w:hAnsiTheme="majorHAnsi"/>
          <w:b/>
        </w:rPr>
      </w:pPr>
      <w:r w:rsidRPr="001211DB">
        <w:rPr>
          <w:rFonts w:asciiTheme="majorHAnsi" w:hAnsiTheme="majorHAnsi"/>
          <w:b/>
        </w:rPr>
        <w:t>Vývoj pilířů socioekonomického rozvoje v</w:t>
      </w:r>
      <w:r w:rsidR="00A52928" w:rsidRPr="001211DB">
        <w:rPr>
          <w:rFonts w:asciiTheme="majorHAnsi" w:hAnsiTheme="majorHAnsi"/>
          <w:b/>
        </w:rPr>
        <w:t xml:space="preserve"> ORP Blatná v letech 2010 – 2012</w:t>
      </w:r>
    </w:p>
    <w:p w:rsidR="00281584" w:rsidRDefault="00143E8E" w:rsidP="00281584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>Harmonický rozvoj regionu souvisí s vyváženosti vztahu mezi jednotlivými pilíři trvale udržitelného rozvoje. Jedná se o pilíř environmentální, ekonomický – hospodářský a</w:t>
      </w:r>
      <w:r w:rsidR="00281584">
        <w:rPr>
          <w:rFonts w:asciiTheme="majorHAnsi" w:hAnsiTheme="majorHAnsi"/>
          <w:sz w:val="24"/>
          <w:szCs w:val="16"/>
        </w:rPr>
        <w:t> </w:t>
      </w:r>
      <w:r>
        <w:rPr>
          <w:rFonts w:asciiTheme="majorHAnsi" w:hAnsiTheme="majorHAnsi"/>
          <w:sz w:val="24"/>
          <w:szCs w:val="16"/>
        </w:rPr>
        <w:t xml:space="preserve">společenský sociální. Vzájemný soulad a vyváženost pilířů je ve skutečnosti v krajinné sféře velmi ojedinělý jev, </w:t>
      </w:r>
      <w:r w:rsidR="00281584">
        <w:rPr>
          <w:rFonts w:asciiTheme="majorHAnsi" w:hAnsiTheme="majorHAnsi"/>
          <w:sz w:val="24"/>
          <w:szCs w:val="16"/>
        </w:rPr>
        <w:t xml:space="preserve">neboť existují výrazné disproporce mezi </w:t>
      </w:r>
      <w:proofErr w:type="spellStart"/>
      <w:r w:rsidR="00281584">
        <w:rPr>
          <w:rFonts w:asciiTheme="majorHAnsi" w:hAnsiTheme="majorHAnsi"/>
          <w:sz w:val="24"/>
          <w:szCs w:val="16"/>
        </w:rPr>
        <w:t>socio</w:t>
      </w:r>
      <w:proofErr w:type="spellEnd"/>
      <w:r w:rsidR="00281584">
        <w:rPr>
          <w:rFonts w:asciiTheme="majorHAnsi" w:hAnsiTheme="majorHAnsi"/>
          <w:sz w:val="24"/>
          <w:szCs w:val="16"/>
        </w:rPr>
        <w:t xml:space="preserve"> – geografickou a </w:t>
      </w:r>
      <w:proofErr w:type="spellStart"/>
      <w:r w:rsidR="00281584">
        <w:rPr>
          <w:rFonts w:asciiTheme="majorHAnsi" w:hAnsiTheme="majorHAnsi"/>
          <w:sz w:val="24"/>
          <w:szCs w:val="16"/>
        </w:rPr>
        <w:t>fyzicko</w:t>
      </w:r>
      <w:proofErr w:type="spellEnd"/>
      <w:r w:rsidR="00281584">
        <w:rPr>
          <w:rFonts w:asciiTheme="majorHAnsi" w:hAnsiTheme="majorHAnsi"/>
          <w:sz w:val="24"/>
          <w:szCs w:val="16"/>
        </w:rPr>
        <w:t xml:space="preserve"> – geografickou sférou. Díky různým disproporcím či vzájemným střetům jednotlivých pilířů dochází v rámci území k jejich rozdílnému vývoji. Lze identifikovat tyto disproporce:</w:t>
      </w:r>
    </w:p>
    <w:p w:rsidR="00281584" w:rsidRPr="006A5753" w:rsidRDefault="00281584" w:rsidP="00281584">
      <w:pPr>
        <w:pStyle w:val="Odstavecseseznamem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b/>
          <w:i/>
          <w:sz w:val="24"/>
          <w:szCs w:val="16"/>
        </w:rPr>
      </w:pPr>
      <w:r w:rsidRPr="006A5753">
        <w:rPr>
          <w:rFonts w:asciiTheme="majorHAnsi" w:hAnsiTheme="majorHAnsi"/>
          <w:b/>
          <w:i/>
          <w:sz w:val="24"/>
          <w:szCs w:val="16"/>
        </w:rPr>
        <w:t>disproporce mezi ekonomickým a environmentálním pilířem</w:t>
      </w:r>
    </w:p>
    <w:p w:rsidR="001D42B7" w:rsidRDefault="001D42B7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extenzivní plošný rozvoj zástavby na úkor přírodních složek krajiny v nezastavěném území či městské zeleně a zájmem na zlepšení kvality životního prostředí a životních podmínek (nakládání s odpady, zrychlený odtok vody, znečištění ovzduší a hluk generovaný z dopravy, dostupnost bydlení a pracovních příležitostí) – </w:t>
      </w:r>
      <w:r w:rsidRPr="001D42B7">
        <w:rPr>
          <w:rFonts w:asciiTheme="majorHAnsi" w:hAnsiTheme="majorHAnsi"/>
          <w:b/>
          <w:sz w:val="24"/>
          <w:szCs w:val="16"/>
        </w:rPr>
        <w:t>řeší ÚP</w:t>
      </w:r>
    </w:p>
    <w:p w:rsidR="001D42B7" w:rsidRDefault="001D42B7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intenzivní využití zemědělského půdního fondu ve styku se zástavbou (zhoršení podmínek bydlení – prašnost, hluk, emise, </w:t>
      </w:r>
      <w:proofErr w:type="spellStart"/>
      <w:r>
        <w:rPr>
          <w:rFonts w:asciiTheme="majorHAnsi" w:hAnsiTheme="majorHAnsi"/>
          <w:sz w:val="24"/>
          <w:szCs w:val="16"/>
        </w:rPr>
        <w:t>splachy</w:t>
      </w:r>
      <w:proofErr w:type="spellEnd"/>
      <w:r>
        <w:rPr>
          <w:rFonts w:asciiTheme="majorHAnsi" w:hAnsiTheme="majorHAnsi"/>
          <w:sz w:val="24"/>
          <w:szCs w:val="16"/>
        </w:rPr>
        <w:t xml:space="preserve"> z ornice na komunikace, do kanalizace, ztížený přístup do krajiny a přírody – </w:t>
      </w:r>
      <w:r w:rsidRPr="001D42B7">
        <w:rPr>
          <w:rFonts w:asciiTheme="majorHAnsi" w:hAnsiTheme="majorHAnsi"/>
          <w:b/>
          <w:sz w:val="24"/>
          <w:szCs w:val="16"/>
        </w:rPr>
        <w:t>z částí řeší ÚP</w:t>
      </w:r>
    </w:p>
    <w:p w:rsidR="001D42B7" w:rsidRDefault="001D42B7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intenzivní využití okolí vodních toků a posílením jejich </w:t>
      </w:r>
      <w:proofErr w:type="spellStart"/>
      <w:r>
        <w:rPr>
          <w:rFonts w:asciiTheme="majorHAnsi" w:hAnsiTheme="majorHAnsi"/>
          <w:sz w:val="24"/>
          <w:szCs w:val="16"/>
        </w:rPr>
        <w:t>ekostabilizační</w:t>
      </w:r>
      <w:proofErr w:type="spellEnd"/>
      <w:r>
        <w:rPr>
          <w:rFonts w:asciiTheme="majorHAnsi" w:hAnsiTheme="majorHAnsi"/>
          <w:sz w:val="24"/>
          <w:szCs w:val="16"/>
        </w:rPr>
        <w:t xml:space="preserve"> a protierozní funkcí (zpomalení povrchového odtoku) – </w:t>
      </w:r>
      <w:r w:rsidRPr="001D42B7">
        <w:rPr>
          <w:rFonts w:asciiTheme="majorHAnsi" w:hAnsiTheme="majorHAnsi"/>
          <w:b/>
          <w:sz w:val="24"/>
          <w:szCs w:val="16"/>
        </w:rPr>
        <w:t>z části řeší ÚP</w:t>
      </w:r>
    </w:p>
    <w:p w:rsidR="001D42B7" w:rsidRDefault="001D42B7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zátěž měst a obcí tranzitní dopravou vyplývající z pozice na komunikaci I/20 a nedokončené výstavbě obchvatů a žádoucí ochranou životního prostředí ve městě – </w:t>
      </w:r>
      <w:r w:rsidRPr="001D42B7">
        <w:rPr>
          <w:rFonts w:asciiTheme="majorHAnsi" w:hAnsiTheme="majorHAnsi"/>
          <w:b/>
          <w:sz w:val="24"/>
          <w:szCs w:val="16"/>
        </w:rPr>
        <w:t>z části řeší ÚP</w:t>
      </w:r>
    </w:p>
    <w:p w:rsidR="001D42B7" w:rsidRPr="001D42B7" w:rsidRDefault="001D42B7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>disproporce mezi přednostním využíváním objektů již v zastavěném území („</w:t>
      </w:r>
      <w:proofErr w:type="spellStart"/>
      <w:r>
        <w:rPr>
          <w:rFonts w:asciiTheme="majorHAnsi" w:hAnsiTheme="majorHAnsi"/>
          <w:sz w:val="24"/>
          <w:szCs w:val="16"/>
        </w:rPr>
        <w:t>brownfields</w:t>
      </w:r>
      <w:proofErr w:type="spellEnd"/>
      <w:r>
        <w:rPr>
          <w:rFonts w:asciiTheme="majorHAnsi" w:hAnsiTheme="majorHAnsi"/>
          <w:sz w:val="24"/>
          <w:szCs w:val="16"/>
        </w:rPr>
        <w:t>“) a nedostatečnou ekonomickou podporou vlastníků a</w:t>
      </w:r>
      <w:r w:rsidR="006A5753">
        <w:rPr>
          <w:rFonts w:asciiTheme="majorHAnsi" w:hAnsiTheme="majorHAnsi"/>
          <w:sz w:val="24"/>
          <w:szCs w:val="16"/>
        </w:rPr>
        <w:t> </w:t>
      </w:r>
      <w:r>
        <w:rPr>
          <w:rFonts w:asciiTheme="majorHAnsi" w:hAnsiTheme="majorHAnsi"/>
          <w:sz w:val="24"/>
          <w:szCs w:val="16"/>
        </w:rPr>
        <w:t xml:space="preserve">investorů – </w:t>
      </w:r>
      <w:r w:rsidRPr="001D42B7">
        <w:rPr>
          <w:rFonts w:asciiTheme="majorHAnsi" w:hAnsiTheme="majorHAnsi"/>
          <w:b/>
          <w:sz w:val="24"/>
          <w:szCs w:val="16"/>
        </w:rPr>
        <w:t>mimo kompetenci ÚP</w:t>
      </w:r>
    </w:p>
    <w:p w:rsidR="001D42B7" w:rsidRPr="001D42B7" w:rsidRDefault="006A5753" w:rsidP="001D42B7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 w:rsidRPr="006A5753">
        <w:rPr>
          <w:rFonts w:asciiTheme="majorHAnsi" w:hAnsiTheme="majorHAnsi"/>
          <w:sz w:val="24"/>
          <w:szCs w:val="16"/>
        </w:rPr>
        <w:t>zájem uchránit kulturní a přírodní dědictví a nutností dalšího rozvoje území se zajištěním potřebné dopravní a technické infrastruktury –</w:t>
      </w:r>
      <w:r>
        <w:rPr>
          <w:rFonts w:asciiTheme="majorHAnsi" w:hAnsiTheme="majorHAnsi"/>
          <w:b/>
          <w:sz w:val="24"/>
          <w:szCs w:val="16"/>
        </w:rPr>
        <w:t xml:space="preserve"> z části řeší ÚP</w:t>
      </w:r>
    </w:p>
    <w:p w:rsidR="00281584" w:rsidRDefault="00281584" w:rsidP="00281584">
      <w:pPr>
        <w:pStyle w:val="Odstavecseseznamem"/>
        <w:spacing w:after="0"/>
        <w:ind w:left="714"/>
        <w:jc w:val="both"/>
        <w:rPr>
          <w:rFonts w:asciiTheme="majorHAnsi" w:hAnsiTheme="majorHAnsi"/>
          <w:sz w:val="24"/>
          <w:szCs w:val="16"/>
        </w:rPr>
      </w:pPr>
    </w:p>
    <w:p w:rsidR="006A5753" w:rsidRDefault="006A5753" w:rsidP="00281584">
      <w:pPr>
        <w:pStyle w:val="Odstavecseseznamem"/>
        <w:spacing w:after="0"/>
        <w:ind w:left="714"/>
        <w:jc w:val="both"/>
        <w:rPr>
          <w:rFonts w:asciiTheme="majorHAnsi" w:hAnsiTheme="majorHAnsi"/>
          <w:sz w:val="24"/>
          <w:szCs w:val="16"/>
        </w:rPr>
      </w:pPr>
    </w:p>
    <w:p w:rsidR="006A5753" w:rsidRPr="00281584" w:rsidRDefault="006A5753" w:rsidP="00281584">
      <w:pPr>
        <w:pStyle w:val="Odstavecseseznamem"/>
        <w:spacing w:after="0"/>
        <w:ind w:left="714"/>
        <w:jc w:val="both"/>
        <w:rPr>
          <w:rFonts w:asciiTheme="majorHAnsi" w:hAnsiTheme="majorHAnsi"/>
          <w:sz w:val="24"/>
          <w:szCs w:val="16"/>
        </w:rPr>
      </w:pPr>
    </w:p>
    <w:p w:rsidR="00281584" w:rsidRPr="006A5753" w:rsidRDefault="00281584" w:rsidP="00281584">
      <w:pPr>
        <w:pStyle w:val="Odstavecseseznamem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b/>
          <w:i/>
          <w:sz w:val="24"/>
          <w:szCs w:val="16"/>
        </w:rPr>
      </w:pPr>
      <w:r w:rsidRPr="006A5753">
        <w:rPr>
          <w:rFonts w:asciiTheme="majorHAnsi" w:hAnsiTheme="majorHAnsi"/>
          <w:b/>
          <w:i/>
          <w:sz w:val="24"/>
          <w:szCs w:val="16"/>
        </w:rPr>
        <w:lastRenderedPageBreak/>
        <w:t>disproporce mezi environmentálním a sociálním pilířem</w:t>
      </w:r>
    </w:p>
    <w:p w:rsidR="006A5753" w:rsidRPr="006A5753" w:rsidRDefault="006A5753" w:rsidP="006A5753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 w:rsidRPr="006A5753">
        <w:rPr>
          <w:rFonts w:asciiTheme="majorHAnsi" w:hAnsiTheme="majorHAnsi"/>
          <w:sz w:val="24"/>
          <w:szCs w:val="16"/>
        </w:rPr>
        <w:t xml:space="preserve">zapojení občanů se ztíženou schopností pohybu a orientace a nedostatečným tempem odstraňování těchto bariér – </w:t>
      </w:r>
      <w:r w:rsidRPr="006A5753">
        <w:rPr>
          <w:rFonts w:asciiTheme="majorHAnsi" w:hAnsiTheme="majorHAnsi"/>
          <w:b/>
          <w:sz w:val="24"/>
          <w:szCs w:val="16"/>
        </w:rPr>
        <w:t>z části řeší ÚP</w:t>
      </w:r>
    </w:p>
    <w:p w:rsidR="006A5753" w:rsidRPr="006A5753" w:rsidRDefault="006A5753" w:rsidP="006A5753">
      <w:pPr>
        <w:pStyle w:val="Odstavecseseznamem"/>
        <w:numPr>
          <w:ilvl w:val="0"/>
          <w:numId w:val="6"/>
        </w:numPr>
        <w:spacing w:after="0"/>
        <w:jc w:val="both"/>
        <w:rPr>
          <w:rFonts w:asciiTheme="majorHAnsi" w:hAnsiTheme="majorHAnsi"/>
          <w:sz w:val="24"/>
          <w:szCs w:val="16"/>
        </w:rPr>
      </w:pPr>
      <w:r w:rsidRPr="006A5753">
        <w:rPr>
          <w:rFonts w:asciiTheme="majorHAnsi" w:hAnsiTheme="majorHAnsi"/>
          <w:sz w:val="24"/>
          <w:szCs w:val="16"/>
        </w:rPr>
        <w:t>potřeba zlepšení ekologické stability, biodiverzity, přístupnosti a prostupnosti krajiny a ochranou kvalitního zemědělského půdního fondu –</w:t>
      </w:r>
      <w:r>
        <w:rPr>
          <w:rFonts w:asciiTheme="majorHAnsi" w:hAnsiTheme="majorHAnsi"/>
          <w:b/>
          <w:sz w:val="24"/>
          <w:szCs w:val="16"/>
        </w:rPr>
        <w:t xml:space="preserve"> z části řeší ÚP</w:t>
      </w:r>
    </w:p>
    <w:p w:rsidR="00281584" w:rsidRPr="00281584" w:rsidRDefault="00281584" w:rsidP="00281584">
      <w:pPr>
        <w:pStyle w:val="Odstavecseseznamem"/>
        <w:spacing w:after="0"/>
        <w:ind w:left="714"/>
        <w:jc w:val="both"/>
        <w:rPr>
          <w:rFonts w:asciiTheme="majorHAnsi" w:hAnsiTheme="majorHAnsi"/>
          <w:sz w:val="24"/>
          <w:szCs w:val="16"/>
        </w:rPr>
      </w:pPr>
    </w:p>
    <w:p w:rsidR="00281584" w:rsidRPr="006A5753" w:rsidRDefault="00281584" w:rsidP="00281584">
      <w:pPr>
        <w:pStyle w:val="Odstavecseseznamem"/>
        <w:numPr>
          <w:ilvl w:val="0"/>
          <w:numId w:val="4"/>
        </w:numPr>
        <w:spacing w:after="0"/>
        <w:ind w:left="714" w:hanging="357"/>
        <w:jc w:val="both"/>
        <w:rPr>
          <w:rFonts w:asciiTheme="majorHAnsi" w:hAnsiTheme="majorHAnsi"/>
          <w:b/>
          <w:i/>
          <w:sz w:val="24"/>
          <w:szCs w:val="16"/>
        </w:rPr>
      </w:pPr>
      <w:r w:rsidRPr="006A5753">
        <w:rPr>
          <w:rFonts w:asciiTheme="majorHAnsi" w:hAnsiTheme="majorHAnsi"/>
          <w:b/>
          <w:i/>
          <w:sz w:val="24"/>
          <w:szCs w:val="16"/>
        </w:rPr>
        <w:t>disproporce mezi sociálním a ekonomickým pilířem</w:t>
      </w:r>
    </w:p>
    <w:p w:rsidR="00232D63" w:rsidRPr="006A5753" w:rsidRDefault="00281584" w:rsidP="006A5753">
      <w:pPr>
        <w:pStyle w:val="Odstavecseseznamem"/>
        <w:numPr>
          <w:ilvl w:val="0"/>
          <w:numId w:val="5"/>
        </w:numPr>
        <w:jc w:val="both"/>
        <w:rPr>
          <w:rFonts w:asciiTheme="majorHAnsi" w:hAnsiTheme="majorHAnsi"/>
          <w:sz w:val="24"/>
          <w:szCs w:val="16"/>
        </w:rPr>
      </w:pPr>
      <w:r w:rsidRPr="006A5753">
        <w:rPr>
          <w:rFonts w:asciiTheme="majorHAnsi" w:hAnsiTheme="majorHAnsi"/>
          <w:sz w:val="24"/>
          <w:szCs w:val="16"/>
        </w:rPr>
        <w:t>disproporce mezi ochranou architektonických a urbanistických hodnot (sociální pilíř) a zájmy na jeho ekonomické využití a pro turistický ruch (ekonomický pilíř)</w:t>
      </w:r>
      <w:r w:rsidR="001D42B7" w:rsidRPr="006A5753">
        <w:rPr>
          <w:rFonts w:asciiTheme="majorHAnsi" w:hAnsiTheme="majorHAnsi"/>
          <w:sz w:val="24"/>
          <w:szCs w:val="16"/>
        </w:rPr>
        <w:t xml:space="preserve"> </w:t>
      </w:r>
      <w:r w:rsidR="001D42B7" w:rsidRPr="006A5753">
        <w:rPr>
          <w:rFonts w:asciiTheme="majorHAnsi" w:hAnsiTheme="majorHAnsi"/>
          <w:b/>
          <w:sz w:val="24"/>
          <w:szCs w:val="16"/>
        </w:rPr>
        <w:t>– mimo řešení ÚP</w:t>
      </w:r>
    </w:p>
    <w:p w:rsidR="00232D63" w:rsidRDefault="00232D63" w:rsidP="00232D63">
      <w:pPr>
        <w:pStyle w:val="Odstavecseseznamem"/>
        <w:numPr>
          <w:ilvl w:val="0"/>
          <w:numId w:val="5"/>
        </w:num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restrukturalizace ekonomické základny (Česka) a jeho vliv na území (regionální problémy mohou být způsobeny neregionálními příčinami) a nepříznivý vývoj </w:t>
      </w:r>
      <w:proofErr w:type="spellStart"/>
      <w:r>
        <w:rPr>
          <w:rFonts w:asciiTheme="majorHAnsi" w:hAnsiTheme="majorHAnsi"/>
          <w:sz w:val="24"/>
          <w:szCs w:val="16"/>
        </w:rPr>
        <w:t>socio</w:t>
      </w:r>
      <w:proofErr w:type="spellEnd"/>
      <w:r>
        <w:rPr>
          <w:rFonts w:asciiTheme="majorHAnsi" w:hAnsiTheme="majorHAnsi"/>
          <w:sz w:val="24"/>
          <w:szCs w:val="16"/>
        </w:rPr>
        <w:t xml:space="preserve"> – ekonomického statusu obyvatelstva (věk, vzdělání)</w:t>
      </w:r>
      <w:r w:rsidR="001D42B7">
        <w:rPr>
          <w:rFonts w:asciiTheme="majorHAnsi" w:hAnsiTheme="majorHAnsi"/>
          <w:sz w:val="24"/>
          <w:szCs w:val="16"/>
        </w:rPr>
        <w:t xml:space="preserve"> – </w:t>
      </w:r>
      <w:r w:rsidR="001D42B7" w:rsidRPr="006A5753">
        <w:rPr>
          <w:rFonts w:asciiTheme="majorHAnsi" w:hAnsiTheme="majorHAnsi"/>
          <w:b/>
          <w:sz w:val="24"/>
          <w:szCs w:val="16"/>
        </w:rPr>
        <w:t>mimo řešení ÚP</w:t>
      </w:r>
    </w:p>
    <w:p w:rsidR="001D42B7" w:rsidRPr="006A5753" w:rsidRDefault="00232D63" w:rsidP="00232D63">
      <w:pPr>
        <w:pStyle w:val="Odstavecseseznamem"/>
        <w:numPr>
          <w:ilvl w:val="0"/>
          <w:numId w:val="5"/>
        </w:num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 disproporce mezi veřejnými prostranstvími jako místy neformální komunikace mezi občany a doprav</w:t>
      </w:r>
      <w:r w:rsidR="001D42B7">
        <w:rPr>
          <w:rFonts w:asciiTheme="majorHAnsi" w:hAnsiTheme="majorHAnsi"/>
          <w:sz w:val="24"/>
          <w:szCs w:val="16"/>
        </w:rPr>
        <w:t xml:space="preserve">ním zatížením, disproporce v rámci malých obcí (dopravní zatížení rozdělující sídlo na dvě části) – </w:t>
      </w:r>
      <w:r w:rsidR="001D42B7" w:rsidRPr="006A5753">
        <w:rPr>
          <w:rFonts w:asciiTheme="majorHAnsi" w:hAnsiTheme="majorHAnsi"/>
          <w:b/>
          <w:sz w:val="24"/>
          <w:szCs w:val="16"/>
        </w:rPr>
        <w:t>částečné řešení ÚP</w:t>
      </w:r>
    </w:p>
    <w:p w:rsidR="006A5753" w:rsidRDefault="006A5753" w:rsidP="006A575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V ORP Blatná došlo v během </w:t>
      </w:r>
      <w:r w:rsidR="001A0293">
        <w:rPr>
          <w:rFonts w:asciiTheme="majorHAnsi" w:hAnsiTheme="majorHAnsi"/>
          <w:sz w:val="24"/>
          <w:szCs w:val="16"/>
        </w:rPr>
        <w:t>sledovaného období (2010 -2012) k částečné proměně v rámci jednotlivých pilířů, což bylo způsobeno několika faktory. Prvním faktorem je dán vývojem fungování společnosti v prostředí – blíže viz analytická část podklady pro RURÚ. Druhým faktorem může být velmi subjektivní způsob posuzování využitý v rámci metodiky zpracování ÚAP a také interpretací dat. Následující grafická část zobrazuje vývoj a změny v rámci jednotlivých pilířů v obcích ORP Blatná v letech 2010 – 2012. Metodika zpracování kartogramů vycházela z ÚAP 2010 a ÚAP 2012, kde jsou jednotlivé obce hodnoceny dle doporučované metodiky MMR a UUR. Obce byly rozděleny do čtyř skupin, které lze vysvětlit následovně:</w:t>
      </w:r>
    </w:p>
    <w:p w:rsidR="001A0293" w:rsidRDefault="001A0293" w:rsidP="001A029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 – </w:t>
      </w:r>
      <w:r w:rsidRPr="001A0293">
        <w:rPr>
          <w:rFonts w:asciiTheme="majorHAnsi" w:hAnsiTheme="majorHAnsi"/>
          <w:sz w:val="24"/>
          <w:szCs w:val="16"/>
        </w:rPr>
        <w:t>(u určitého pilíře v roce 2010) a – (</w:t>
      </w:r>
      <w:r>
        <w:rPr>
          <w:rFonts w:asciiTheme="majorHAnsi" w:hAnsiTheme="majorHAnsi"/>
          <w:sz w:val="24"/>
          <w:szCs w:val="16"/>
        </w:rPr>
        <w:t>u určitého pilíře v roce 2012) = přetrvávající špatný stav</w:t>
      </w:r>
    </w:p>
    <w:p w:rsidR="001A0293" w:rsidRDefault="001A0293" w:rsidP="001A029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– </w:t>
      </w:r>
      <w:r w:rsidRPr="001A0293">
        <w:rPr>
          <w:rFonts w:asciiTheme="majorHAnsi" w:hAnsiTheme="majorHAnsi"/>
          <w:sz w:val="24"/>
          <w:szCs w:val="16"/>
        </w:rPr>
        <w:t xml:space="preserve">(u určitého pilíře v roce 2010) a </w:t>
      </w:r>
      <w:r>
        <w:rPr>
          <w:rFonts w:asciiTheme="majorHAnsi" w:hAnsiTheme="majorHAnsi"/>
          <w:sz w:val="24"/>
          <w:szCs w:val="16"/>
        </w:rPr>
        <w:t>+</w:t>
      </w:r>
      <w:r w:rsidRPr="001A0293">
        <w:rPr>
          <w:rFonts w:asciiTheme="majorHAnsi" w:hAnsiTheme="majorHAnsi"/>
          <w:sz w:val="24"/>
          <w:szCs w:val="16"/>
        </w:rPr>
        <w:t xml:space="preserve"> (</w:t>
      </w:r>
      <w:r>
        <w:rPr>
          <w:rFonts w:asciiTheme="majorHAnsi" w:hAnsiTheme="majorHAnsi"/>
          <w:sz w:val="24"/>
          <w:szCs w:val="16"/>
        </w:rPr>
        <w:t>u určitého pilíře v roce 2012) = zlepšující se stav</w:t>
      </w:r>
    </w:p>
    <w:p w:rsidR="001A0293" w:rsidRDefault="001A0293" w:rsidP="001A029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+ </w:t>
      </w:r>
      <w:r w:rsidRPr="001A0293">
        <w:rPr>
          <w:rFonts w:asciiTheme="majorHAnsi" w:hAnsiTheme="majorHAnsi"/>
          <w:sz w:val="24"/>
          <w:szCs w:val="16"/>
        </w:rPr>
        <w:t xml:space="preserve">(u určitého pilíře v roce 2010) a </w:t>
      </w:r>
      <w:r>
        <w:rPr>
          <w:rFonts w:asciiTheme="majorHAnsi" w:hAnsiTheme="majorHAnsi"/>
          <w:sz w:val="24"/>
          <w:szCs w:val="16"/>
        </w:rPr>
        <w:t>+</w:t>
      </w:r>
      <w:r w:rsidRPr="001A0293">
        <w:rPr>
          <w:rFonts w:asciiTheme="majorHAnsi" w:hAnsiTheme="majorHAnsi"/>
          <w:sz w:val="24"/>
          <w:szCs w:val="16"/>
        </w:rPr>
        <w:t xml:space="preserve"> (</w:t>
      </w:r>
      <w:r>
        <w:rPr>
          <w:rFonts w:asciiTheme="majorHAnsi" w:hAnsiTheme="majorHAnsi"/>
          <w:sz w:val="24"/>
          <w:szCs w:val="16"/>
        </w:rPr>
        <w:t>u určitého pilíře v roce 2012) = přetrvávající dobrý stav</w:t>
      </w:r>
    </w:p>
    <w:p w:rsidR="001A0293" w:rsidRPr="001A0293" w:rsidRDefault="001A0293" w:rsidP="001A029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 xml:space="preserve">+ </w:t>
      </w:r>
      <w:r w:rsidRPr="001A0293">
        <w:rPr>
          <w:rFonts w:asciiTheme="majorHAnsi" w:hAnsiTheme="majorHAnsi"/>
          <w:sz w:val="24"/>
          <w:szCs w:val="16"/>
        </w:rPr>
        <w:t>(u určitého pilíře v roce 2010) a – (</w:t>
      </w:r>
      <w:r>
        <w:rPr>
          <w:rFonts w:asciiTheme="majorHAnsi" w:hAnsiTheme="majorHAnsi"/>
          <w:sz w:val="24"/>
          <w:szCs w:val="16"/>
        </w:rPr>
        <w:t>u určitého pilíře v roce 2012) = zhoršující se stav</w:t>
      </w:r>
    </w:p>
    <w:p w:rsidR="001A0293" w:rsidRDefault="001A0293" w:rsidP="001A0293">
      <w:pPr>
        <w:jc w:val="both"/>
        <w:rPr>
          <w:rFonts w:asciiTheme="majorHAnsi" w:hAnsiTheme="majorHAnsi"/>
          <w:sz w:val="24"/>
          <w:szCs w:val="16"/>
        </w:rPr>
      </w:pPr>
    </w:p>
    <w:p w:rsidR="001D42B7" w:rsidRPr="006A5753" w:rsidRDefault="001A0293" w:rsidP="001A0293">
      <w:pPr>
        <w:jc w:val="both"/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sz w:val="24"/>
          <w:szCs w:val="16"/>
        </w:rPr>
        <w:t>Druhá část tohoto dokumentu zobrazuje porovnání jednotlivých témat (13 témat) po obcích a jejich vývoj v letech 2010 – 2012. Z diagramů je zřejmé, v jakých oblastech došlo k posílení případně zhoršení situace, přičemž tyto diagramy vycházejí z textových částí RURÚ 2010 a RURÚ 2012</w:t>
      </w:r>
      <w:r w:rsidR="00C16758">
        <w:rPr>
          <w:rFonts w:asciiTheme="majorHAnsi" w:hAnsiTheme="majorHAnsi"/>
          <w:sz w:val="24"/>
          <w:szCs w:val="16"/>
        </w:rPr>
        <w:t xml:space="preserve"> – části A, B, C.</w:t>
      </w:r>
    </w:p>
    <w:p w:rsidR="001211DB" w:rsidRPr="00232D63" w:rsidRDefault="001211DB" w:rsidP="00232D63">
      <w:pPr>
        <w:pStyle w:val="Odstavecseseznamem"/>
        <w:numPr>
          <w:ilvl w:val="0"/>
          <w:numId w:val="5"/>
        </w:numPr>
        <w:jc w:val="both"/>
        <w:rPr>
          <w:rFonts w:asciiTheme="majorHAnsi" w:hAnsiTheme="majorHAnsi"/>
          <w:sz w:val="24"/>
          <w:szCs w:val="16"/>
        </w:rPr>
      </w:pPr>
      <w:r w:rsidRPr="00232D63">
        <w:rPr>
          <w:rFonts w:asciiTheme="majorHAnsi" w:hAnsiTheme="majorHAnsi"/>
          <w:sz w:val="24"/>
          <w:szCs w:val="16"/>
        </w:rPr>
        <w:br w:type="page"/>
      </w:r>
    </w:p>
    <w:p w:rsidR="001211DB" w:rsidRDefault="00143E8E">
      <w:pPr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noProof/>
          <w:sz w:val="24"/>
          <w:szCs w:val="16"/>
          <w:lang w:eastAsia="cs-CZ"/>
        </w:rPr>
        <w:lastRenderedPageBreak/>
        <w:drawing>
          <wp:inline distT="0" distB="0" distL="0" distR="0">
            <wp:extent cx="5760720" cy="8140700"/>
            <wp:effectExtent l="19050" t="0" r="0" b="0"/>
            <wp:docPr id="59" name="Obrázek 58" descr="vývoj environmentálního pilíře v ORP Blatná v letech 2010 -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voj environmentálního pilíře v ORP Blatná v letech 2010 - 2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1DB">
        <w:rPr>
          <w:rFonts w:asciiTheme="majorHAnsi" w:hAnsiTheme="majorHAnsi"/>
          <w:sz w:val="24"/>
          <w:szCs w:val="16"/>
        </w:rPr>
        <w:br w:type="page"/>
      </w:r>
    </w:p>
    <w:p w:rsidR="001211DB" w:rsidRDefault="00143E8E">
      <w:pPr>
        <w:rPr>
          <w:rFonts w:asciiTheme="majorHAnsi" w:hAnsiTheme="majorHAnsi"/>
          <w:sz w:val="24"/>
          <w:szCs w:val="16"/>
        </w:rPr>
      </w:pPr>
      <w:r>
        <w:rPr>
          <w:rFonts w:asciiTheme="majorHAnsi" w:hAnsiTheme="majorHAnsi"/>
          <w:noProof/>
          <w:sz w:val="24"/>
          <w:szCs w:val="16"/>
          <w:lang w:eastAsia="cs-CZ"/>
        </w:rPr>
        <w:lastRenderedPageBreak/>
        <w:drawing>
          <wp:inline distT="0" distB="0" distL="0" distR="0">
            <wp:extent cx="5760720" cy="8140700"/>
            <wp:effectExtent l="19050" t="0" r="0" b="0"/>
            <wp:docPr id="60" name="Obrázek 59" descr="vývoj hospodářského pilíře ORP Blatná 2010 -201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voj hospodářského pilíře ORP Blatná 2010 -2012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3B" w:rsidRPr="001211DB" w:rsidRDefault="00A1773B" w:rsidP="0016291B">
      <w:pPr>
        <w:spacing w:after="0" w:line="240" w:lineRule="auto"/>
        <w:rPr>
          <w:rFonts w:asciiTheme="majorHAnsi" w:hAnsiTheme="majorHAnsi"/>
          <w:sz w:val="24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143E8E" w:rsidP="0016291B">
      <w:pPr>
        <w:spacing w:after="0" w:line="240" w:lineRule="auto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cs-CZ"/>
        </w:rPr>
        <w:lastRenderedPageBreak/>
        <w:drawing>
          <wp:inline distT="0" distB="0" distL="0" distR="0">
            <wp:extent cx="5760720" cy="8140700"/>
            <wp:effectExtent l="19050" t="0" r="0" b="0"/>
            <wp:docPr id="61" name="Obrázek 60" descr="vývoj sociáoního pilíře ORP Blatná 2010 -201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voj sociáoního pilíře ORP Blatná 2010 -2012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A1773B" w:rsidRDefault="00A1773B" w:rsidP="0016291B">
      <w:pPr>
        <w:spacing w:after="0" w:line="240" w:lineRule="auto"/>
        <w:rPr>
          <w:i/>
          <w:sz w:val="16"/>
          <w:szCs w:val="16"/>
        </w:rPr>
      </w:pPr>
    </w:p>
    <w:p w:rsidR="001211DB" w:rsidRPr="001211DB" w:rsidRDefault="001211DB" w:rsidP="001211DB">
      <w:pPr>
        <w:pStyle w:val="Odstavecseseznamem"/>
        <w:numPr>
          <w:ilvl w:val="0"/>
          <w:numId w:val="3"/>
        </w:numPr>
        <w:rPr>
          <w:rFonts w:asciiTheme="majorHAnsi" w:hAnsiTheme="majorHAnsi"/>
          <w:b/>
          <w:sz w:val="24"/>
        </w:rPr>
      </w:pPr>
      <w:r w:rsidRPr="001211DB">
        <w:rPr>
          <w:rFonts w:asciiTheme="majorHAnsi" w:hAnsiTheme="majorHAnsi"/>
          <w:b/>
          <w:sz w:val="24"/>
        </w:rPr>
        <w:lastRenderedPageBreak/>
        <w:t>Vyhodnocení jednotlivých témat v obcích ORP Blatná v letech 2010 – 2012</w:t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9.45pt;margin-top:28.05pt;width:170.7pt;height:155.65pt;z-index:251663360;mso-width-relative:margin;mso-height-relative:margin" strokecolor="white [3212]">
            <v:textbox>
              <w:txbxContent>
                <w:p w:rsidR="00E97C24" w:rsidRPr="00E97C24" w:rsidRDefault="00E97C24" w:rsidP="00E97C24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E97C24" w:rsidRPr="00D52F6A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E97C24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E97C24" w:rsidRDefault="00E97C24" w:rsidP="00E97C24"/>
              </w:txbxContent>
            </v:textbox>
          </v:shape>
        </w:pict>
      </w:r>
      <w:r>
        <w:rPr>
          <w:rFonts w:asciiTheme="majorHAnsi" w:hAnsiTheme="majorHAnsi"/>
          <w:b/>
          <w:noProof/>
        </w:rPr>
        <w:pict>
          <v:shape id="_x0000_s1026" type="#_x0000_t202" style="position:absolute;margin-left:4.45pt;margin-top:4.05pt;width:75.45pt;height:36pt;z-index:251660288;mso-width-relative:margin;mso-height-relative:margin" strokecolor="white [3212]">
            <v:textbox>
              <w:txbxContent>
                <w:p w:rsidR="00E97C24" w:rsidRPr="00E97C24" w:rsidRDefault="00E97C24">
                  <w:pPr>
                    <w:rPr>
                      <w:b/>
                      <w:sz w:val="32"/>
                    </w:rPr>
                  </w:pPr>
                  <w:r w:rsidRPr="00E97C24">
                    <w:rPr>
                      <w:b/>
                      <w:sz w:val="32"/>
                    </w:rPr>
                    <w:t>Bělčice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34050" cy="2743200"/>
            <wp:effectExtent l="19050" t="0" r="19050" b="0"/>
            <wp:docPr id="3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34" type="#_x0000_t202" style="position:absolute;margin-left:4.45pt;margin-top:1.15pt;width:109.2pt;height:36pt;z-index:251669504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Bezdědovice</w:t>
                  </w:r>
                </w:p>
              </w:txbxContent>
            </v:textbox>
          </v:shape>
        </w:pict>
      </w:r>
      <w:r>
        <w:rPr>
          <w:rFonts w:asciiTheme="majorHAnsi" w:hAnsiTheme="majorHAnsi"/>
          <w:b/>
          <w:noProof/>
        </w:rPr>
        <w:pict>
          <v:shape id="_x0000_s1027" type="#_x0000_t202" style="position:absolute;margin-left:279.45pt;margin-top:28.15pt;width:170.7pt;height:155.65pt;z-index:251662336;mso-width-relative:margin;mso-height-relative:margin" strokecolor="white [3212]">
            <v:textbox>
              <w:txbxContent>
                <w:p w:rsidR="00E97C24" w:rsidRPr="00E97C24" w:rsidRDefault="00E97C24" w:rsidP="00E97C24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E97C24" w:rsidRPr="00D52F6A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E97C24" w:rsidRPr="00E512C8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E97C24" w:rsidRDefault="00E97C24" w:rsidP="00E97C2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E97C24" w:rsidRDefault="00E97C24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34050" cy="2743200"/>
            <wp:effectExtent l="19050" t="0" r="19050" b="0"/>
            <wp:docPr id="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35" type="#_x0000_t202" style="position:absolute;margin-left:4.45pt;margin-top:1.2pt;width:75.45pt;height:36pt;z-index:251670528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Blatná</w:t>
                  </w:r>
                </w:p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33" type="#_x0000_t202" style="position:absolute;margin-left:279.45pt;margin-top:27.05pt;width:170.7pt;height:155.65pt;z-index:25166848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0F7ADA" w:rsidRPr="00D52F6A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0F7ADA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0F7ADA" w:rsidRDefault="000F7ADA" w:rsidP="000F7ADA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34050" cy="2743200"/>
            <wp:effectExtent l="19050" t="0" r="19050" b="0"/>
            <wp:docPr id="6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58" type="#_x0000_t202" style="position:absolute;margin-left:282.45pt;margin-top:26.65pt;width:170.7pt;height:155.65pt;z-index:25169408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0F7ADA" w:rsidRPr="00D52F6A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0F7ADA" w:rsidRPr="00E512C8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0F7ADA" w:rsidRDefault="000F7ADA" w:rsidP="000F7ADA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0F7ADA" w:rsidRDefault="000F7ADA" w:rsidP="000F7ADA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36" type="#_x0000_t202" style="position:absolute;margin-left:3.8pt;margin-top:1.15pt;width:113.6pt;height:36pt;z-index:251671552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Bratronice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7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773B" w:rsidRPr="000F7ADA" w:rsidRDefault="00D3069E" w:rsidP="00A52928">
      <w:pPr>
        <w:rPr>
          <w:rFonts w:asciiTheme="majorHAnsi" w:hAnsiTheme="majorHAnsi"/>
        </w:rPr>
      </w:pPr>
      <w:r w:rsidRPr="00D3069E">
        <w:rPr>
          <w:rFonts w:asciiTheme="majorHAnsi" w:hAnsiTheme="majorHAnsi"/>
          <w:b/>
          <w:noProof/>
          <w:lang w:eastAsia="cs-CZ"/>
        </w:rPr>
        <w:pict>
          <v:shape id="_x0000_s1059" type="#_x0000_t202" style="position:absolute;margin-left:282.45pt;margin-top:27.4pt;width:170.7pt;height:155.65pt;z-index:251695104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Pr="00D3069E">
        <w:rPr>
          <w:rFonts w:asciiTheme="majorHAnsi" w:hAnsiTheme="majorHAnsi"/>
          <w:b/>
          <w:noProof/>
          <w:lang w:eastAsia="cs-CZ"/>
        </w:rPr>
        <w:pict>
          <v:shape id="_x0000_s1038" type="#_x0000_t202" style="position:absolute;margin-left:3.8pt;margin-top:1.9pt;width:113.6pt;height:36pt;z-index:25167360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Březí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8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0" type="#_x0000_t202" style="position:absolute;margin-left:282.45pt;margin-top:27.05pt;width:170.7pt;height:155.65pt;z-index:251696128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37" type="#_x0000_t202" style="position:absolute;margin-left:3.8pt;margin-top:1.95pt;width:113.6pt;height:36pt;z-index:251672576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noProof/>
                      <w:sz w:val="32"/>
                      <w:lang w:eastAsia="cs-CZ"/>
                    </w:rPr>
                    <w:t>Buzice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9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64" type="#_x0000_t202" style="position:absolute;margin-left:282.45pt;margin-top:27.4pt;width:170.7pt;height:155.65pt;z-index:251700224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39" type="#_x0000_t202" style="position:absolute;margin-left:2.75pt;margin-top:1.9pt;width:113.6pt;height:36pt;z-index:251674624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Čečelovice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0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2" type="#_x0000_t202" style="position:absolute;margin-left:282.45pt;margin-top:27.45pt;width:170.7pt;height:155.65pt;z-index:251698176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0" type="#_x0000_t202" style="position:absolute;margin-left:2.75pt;margin-top:1.95pt;width:113.6pt;height:36pt;z-index:251675648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Hajany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1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1" type="#_x0000_t202" style="position:absolute;margin-left:282.45pt;margin-top:27.55pt;width:170.7pt;height:155.65pt;z-index:251697152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1" type="#_x0000_t202" style="position:absolute;margin-left:2.75pt;margin-top:1.3pt;width:113.6pt;height:36pt;z-index:251676672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Hornosín</w:t>
                  </w:r>
                  <w:proofErr w:type="spellEnd"/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2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63" type="#_x0000_t202" style="position:absolute;margin-left:281.7pt;margin-top:27.4pt;width:170.7pt;height:155.65pt;z-index:251699200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3" type="#_x0000_t202" style="position:absolute;margin-left:2.75pt;margin-top:1.15pt;width:113.6pt;height:36pt;z-index:25167872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Chlum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3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6" type="#_x0000_t202" style="position:absolute;margin-left:281.7pt;margin-top:27.45pt;width:170.7pt;height:155.65pt;z-index:251702272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2" type="#_x0000_t202" style="position:absolute;margin-left:2.75pt;margin-top:1.2pt;width:113.6pt;height:36pt;z-index:251677696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Chobot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4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5" type="#_x0000_t202" style="position:absolute;margin-left:281.7pt;margin-top:27.55pt;width:170.7pt;height:155.65pt;z-index:251701248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4" type="#_x0000_t202" style="position:absolute;margin-left:2.75pt;margin-top:1.3pt;width:113.6pt;height:36pt;z-index:251679744;mso-width-relative:margin;mso-height-relative:margin" strokecolor="white [3212]">
            <v:textbox style="mso-next-textbox:#_x0000_s1044"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Kadov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5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67" type="#_x0000_t202" style="position:absolute;margin-left:280.95pt;margin-top:27.4pt;width:170.7pt;height:155.65pt;z-index:251703296;mso-width-relative:margin;mso-height-relative:margin" strokecolor="white [3212]">
            <v:textbox style="mso-next-textbox:#_x0000_s1067"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5" type="#_x0000_t202" style="position:absolute;margin-left:2.75pt;margin-top:1.15pt;width:113.6pt;height:36pt;z-index:251680768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Kocelovice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6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8" type="#_x0000_t202" style="position:absolute;margin-left:280.95pt;margin-top:27.4pt;width:170.7pt;height:155.65pt;z-index:251704320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6" type="#_x0000_t202" style="position:absolute;margin-left:2.75pt;margin-top:1.15pt;width:113.6pt;height:36pt;z-index:251681792;mso-width-relative:margin;mso-height-relative:margin" strokecolor="white [3212]">
            <v:textbox style="mso-next-textbox:#_x0000_s1046"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Lažánky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7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69" type="#_x0000_t202" style="position:absolute;margin-left:280.95pt;margin-top:27.45pt;width:170.7pt;height:155.65pt;z-index:251705344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47" type="#_x0000_t202" style="position:absolute;margin-left:2.75pt;margin-top:1.2pt;width:113.6pt;height:36pt;z-index:251682816;mso-width-relative:margin;mso-height-relative:margin" strokecolor="white [3212]">
            <v:textbox style="mso-next-textbox:#_x0000_s1047"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Lažany</w:t>
                  </w:r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8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48" type="#_x0000_t202" style="position:absolute;margin-left:3.05pt;margin-top:1.15pt;width:113.6pt;height:36pt;z-index:25168384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Lnáře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0" type="#_x0000_t202" style="position:absolute;margin-left:282.45pt;margin-top:27.4pt;width:170.7pt;height:155.65pt;z-index:251706368;mso-width-relative:margin;mso-height-relative:margin" strokecolor="white [3212]">
            <v:textbox style="mso-next-textbox:#_x0000_s1070"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19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49" type="#_x0000_t202" style="position:absolute;margin-left:3.05pt;margin-top:1.2pt;width:113.6pt;height:36pt;z-index:251684864;mso-width-relative:margin;mso-height-relative:margin" strokecolor="white [3212]">
            <v:textbox style="mso-next-textbox:#_x0000_s1049"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Lom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1" type="#_x0000_t202" style="position:absolute;margin-left:282.45pt;margin-top:27.45pt;width:170.7pt;height:155.65pt;z-index:251707392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0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50" type="#_x0000_t202" style="position:absolute;margin-left:4.1pt;margin-top:1.3pt;width:113.6pt;height:36pt;z-index:251685888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Mačkov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2" type="#_x0000_t202" style="position:absolute;margin-left:282.45pt;margin-top:27.55pt;width:170.7pt;height:155.65pt;z-index:251708416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1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A2B94" w:rsidRDefault="002A2B94" w:rsidP="00A52928">
      <w:pPr>
        <w:rPr>
          <w:rFonts w:asciiTheme="majorHAnsi" w:hAnsiTheme="majorHAnsi"/>
          <w:b/>
        </w:rPr>
      </w:pPr>
    </w:p>
    <w:p w:rsidR="002A2B94" w:rsidRDefault="002A2B94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82" type="#_x0000_t202" style="position:absolute;margin-left:282.45pt;margin-top:28.3pt;width:170.7pt;height:155.65pt;z-index:251717632;mso-width-relative:margin;mso-height-relative:margin" strokecolor="white [3212]">
            <v:textbox>
              <w:txbxContent>
                <w:p w:rsidR="002A2B94" w:rsidRPr="00E97C24" w:rsidRDefault="002A2B94" w:rsidP="002A2B94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2A2B94" w:rsidRPr="00D52F6A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2A2B94" w:rsidRPr="00E512C8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2A2B94" w:rsidRDefault="002A2B94" w:rsidP="002A2B94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2A2B94" w:rsidRDefault="002A2B94" w:rsidP="002A2B94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81" type="#_x0000_t202" style="position:absolute;margin-left:2.75pt;margin-top:1.75pt;width:113.6pt;height:36pt;z-index:251716608;mso-width-relative:margin;mso-height-relative:margin" strokecolor="white [3212]">
            <v:textbox>
              <w:txbxContent>
                <w:p w:rsidR="002A2B94" w:rsidRPr="00E97C24" w:rsidRDefault="002A2B94" w:rsidP="002A2B94">
                  <w:pPr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Myštice</w:t>
                  </w:r>
                  <w:proofErr w:type="spellEnd"/>
                </w:p>
              </w:txbxContent>
            </v:textbox>
          </v:shape>
        </w:pict>
      </w:r>
      <w:r w:rsidRPr="002A2B94">
        <w:rPr>
          <w:rFonts w:asciiTheme="majorHAnsi" w:hAnsiTheme="majorHAnsi"/>
          <w:b/>
        </w:rPr>
        <w:drawing>
          <wp:inline distT="0" distB="0" distL="0" distR="0">
            <wp:extent cx="5743117" cy="2743200"/>
            <wp:effectExtent l="19050" t="0" r="9983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1773B" w:rsidRDefault="00D3069E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75" type="#_x0000_t202" style="position:absolute;margin-left:282.45pt;margin-top:27.4pt;width:170.7pt;height:155.65pt;z-index:251711488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>
        <w:rPr>
          <w:rFonts w:asciiTheme="majorHAnsi" w:hAnsiTheme="majorHAnsi"/>
          <w:b/>
          <w:noProof/>
          <w:lang w:eastAsia="cs-CZ"/>
        </w:rPr>
        <w:pict>
          <v:shape id="_x0000_s1052" type="#_x0000_t202" style="position:absolute;margin-left:2.75pt;margin-top:1.15pt;width:113.6pt;height:36pt;z-index:251687936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Předmíř</w:t>
                  </w:r>
                  <w:proofErr w:type="spellEnd"/>
                </w:p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2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51" type="#_x0000_t202" style="position:absolute;margin-left:2.75pt;margin-top:1.5pt;width:113.6pt;height:36pt;z-index:251686912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Sedlice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4" type="#_x0000_t202" style="position:absolute;margin-left:282.45pt;margin-top:27.45pt;width:170.7pt;height:155.65pt;z-index:251710464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3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53" type="#_x0000_t202" style="position:absolute;margin-left:2.75pt;margin-top:1.6pt;width:113.6pt;height:36pt;z-index:251688960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Škvořetice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3" type="#_x0000_t202" style="position:absolute;margin-left:282.45pt;margin-top:29.8pt;width:170.7pt;height:155.65pt;z-index:251709440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4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55" type="#_x0000_t202" style="position:absolute;margin-left:3.05pt;margin-top:1.45pt;width:113.6pt;height:36pt;z-index:251691008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Tchořovice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7" type="#_x0000_t202" style="position:absolute;margin-left:281.7pt;margin-top:25.9pt;width:170.7pt;height:155.65pt;z-index:251713536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5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54" type="#_x0000_t202" style="position:absolute;margin-left:3.05pt;margin-top:1.2pt;width:113.6pt;height:36pt;z-index:251689984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Uzenice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6" type="#_x0000_t202" style="position:absolute;margin-left:281.7pt;margin-top:27.45pt;width:170.7pt;height:155.65pt;z-index:251712512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6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1773B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lastRenderedPageBreak/>
        <w:pict>
          <v:shape id="_x0000_s1056" type="#_x0000_t202" style="position:absolute;margin-left:3.05pt;margin-top:1.6pt;width:113.6pt;height:36pt;z-index:251692032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Uzeničky</w:t>
                  </w:r>
                  <w:proofErr w:type="spellEnd"/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8" type="#_x0000_t202" style="position:absolute;margin-left:281.7pt;margin-top:27.55pt;width:170.7pt;height:155.65pt;z-index:251714560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7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1773B" w:rsidRPr="00A52928" w:rsidRDefault="00482477" w:rsidP="00A5292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cs-CZ"/>
        </w:rPr>
        <w:pict>
          <v:shape id="_x0000_s1057" type="#_x0000_t202" style="position:absolute;margin-left:3.05pt;margin-top:1.45pt;width:113.6pt;height:36pt;z-index:251693056;mso-width-relative:margin;mso-height-relative:margin" strokecolor="white [3212]">
            <v:textbox>
              <w:txbxContent>
                <w:p w:rsidR="000F7ADA" w:rsidRPr="00E97C24" w:rsidRDefault="000F7ADA" w:rsidP="000F7AD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Záboří</w:t>
                  </w:r>
                </w:p>
              </w:txbxContent>
            </v:textbox>
          </v:shape>
        </w:pict>
      </w:r>
      <w:r w:rsidR="00D3069E">
        <w:rPr>
          <w:rFonts w:asciiTheme="majorHAnsi" w:hAnsiTheme="majorHAnsi"/>
          <w:b/>
          <w:noProof/>
          <w:lang w:eastAsia="cs-CZ"/>
        </w:rPr>
        <w:pict>
          <v:shape id="_x0000_s1079" type="#_x0000_t202" style="position:absolute;margin-left:282.45pt;margin-top:27.4pt;width:170.7pt;height:155.65pt;z-index:251715584;mso-width-relative:margin;mso-height-relative:margin" strokecolor="white [3212]">
            <v:textbox>
              <w:txbxContent>
                <w:p w:rsidR="001211DB" w:rsidRPr="00E97C24" w:rsidRDefault="001211DB" w:rsidP="001211DB">
                  <w:pPr>
                    <w:spacing w:after="0" w:line="240" w:lineRule="auto"/>
                    <w:rPr>
                      <w:b/>
                      <w:i/>
                      <w:sz w:val="18"/>
                      <w:szCs w:val="16"/>
                      <w:u w:val="single"/>
                    </w:rPr>
                  </w:pPr>
                  <w:r w:rsidRPr="00E97C24">
                    <w:rPr>
                      <w:b/>
                      <w:i/>
                      <w:sz w:val="18"/>
                      <w:szCs w:val="16"/>
                      <w:u w:val="single"/>
                    </w:rPr>
                    <w:t>Vysvětlivky: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 – Horninové prostředí a geologie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2 – Vodní režim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3 – Hygiena životního prostředí</w:t>
                  </w:r>
                </w:p>
                <w:p w:rsidR="001211DB" w:rsidRPr="00D52F6A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D52F6A">
                    <w:rPr>
                      <w:i/>
                      <w:sz w:val="16"/>
                      <w:szCs w:val="16"/>
                    </w:rPr>
                    <w:t>4 – Ochrana přírody a krajiny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5 – Zemědělský půdní fond a pozemky určené k plnění funkcí lesa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6 – Veřejná technická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7 – Veřejná dopravní infrastruktura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 xml:space="preserve">8 – </w:t>
                  </w:r>
                  <w:proofErr w:type="spellStart"/>
                  <w:r w:rsidRPr="00E512C8">
                    <w:rPr>
                      <w:i/>
                      <w:sz w:val="16"/>
                      <w:szCs w:val="16"/>
                    </w:rPr>
                    <w:t>Socio</w:t>
                  </w:r>
                  <w:proofErr w:type="spellEnd"/>
                  <w:r w:rsidRPr="00E512C8">
                    <w:rPr>
                      <w:i/>
                      <w:sz w:val="16"/>
                      <w:szCs w:val="16"/>
                    </w:rPr>
                    <w:t>-demografické podmínky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9 – Bydlení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10 – Rekreace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11 – Regionální ekonomika</w:t>
                  </w:r>
                </w:p>
                <w:p w:rsidR="001211DB" w:rsidRPr="00E512C8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12 – Trh práce</w:t>
                  </w:r>
                </w:p>
                <w:p w:rsidR="001211DB" w:rsidRDefault="001211DB" w:rsidP="001211DB">
                  <w:pPr>
                    <w:spacing w:after="0" w:line="240" w:lineRule="auto"/>
                    <w:rPr>
                      <w:i/>
                      <w:sz w:val="16"/>
                      <w:szCs w:val="16"/>
                    </w:rPr>
                  </w:pPr>
                  <w:r w:rsidRPr="00E512C8">
                    <w:rPr>
                      <w:i/>
                      <w:sz w:val="16"/>
                      <w:szCs w:val="16"/>
                    </w:rPr>
                    <w:t>13 – Daňová výtěžnost</w:t>
                  </w:r>
                </w:p>
                <w:p w:rsidR="001211DB" w:rsidRDefault="001211DB" w:rsidP="001211DB"/>
              </w:txbxContent>
            </v:textbox>
          </v:shape>
        </w:pict>
      </w:r>
      <w:r w:rsidR="00A1773B" w:rsidRPr="00A1773B">
        <w:rPr>
          <w:rFonts w:asciiTheme="majorHAnsi" w:hAnsiTheme="majorHAnsi"/>
          <w:b/>
          <w:noProof/>
          <w:lang w:eastAsia="cs-CZ"/>
        </w:rPr>
        <w:drawing>
          <wp:inline distT="0" distB="0" distL="0" distR="0">
            <wp:extent cx="5743575" cy="2743200"/>
            <wp:effectExtent l="19050" t="0" r="9525" b="0"/>
            <wp:docPr id="28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A1773B" w:rsidRPr="00A52928" w:rsidSect="0036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CB6"/>
    <w:multiLevelType w:val="hybridMultilevel"/>
    <w:tmpl w:val="069033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B65C3"/>
    <w:multiLevelType w:val="hybridMultilevel"/>
    <w:tmpl w:val="D6F2AD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F06AA"/>
    <w:multiLevelType w:val="hybridMultilevel"/>
    <w:tmpl w:val="A9E65D5A"/>
    <w:lvl w:ilvl="0" w:tplc="CBC24C12">
      <w:start w:val="3"/>
      <w:numFmt w:val="bullet"/>
      <w:lvlText w:val="-"/>
      <w:lvlJc w:val="left"/>
      <w:pPr>
        <w:ind w:left="1074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>
    <w:nsid w:val="483278D6"/>
    <w:multiLevelType w:val="hybridMultilevel"/>
    <w:tmpl w:val="99CA474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4751B8A"/>
    <w:multiLevelType w:val="hybridMultilevel"/>
    <w:tmpl w:val="7D361DDA"/>
    <w:lvl w:ilvl="0" w:tplc="2CD2DF06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8877CE"/>
    <w:multiLevelType w:val="hybridMultilevel"/>
    <w:tmpl w:val="0FD24D7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A52928"/>
    <w:rsid w:val="0004254C"/>
    <w:rsid w:val="0004694C"/>
    <w:rsid w:val="000F7ADA"/>
    <w:rsid w:val="001211DB"/>
    <w:rsid w:val="00143E8E"/>
    <w:rsid w:val="0016291B"/>
    <w:rsid w:val="001A0293"/>
    <w:rsid w:val="001D42B7"/>
    <w:rsid w:val="00232D63"/>
    <w:rsid w:val="00276D3F"/>
    <w:rsid w:val="00281584"/>
    <w:rsid w:val="002A2B94"/>
    <w:rsid w:val="003601D0"/>
    <w:rsid w:val="00482477"/>
    <w:rsid w:val="004A654D"/>
    <w:rsid w:val="005B77CD"/>
    <w:rsid w:val="006A5753"/>
    <w:rsid w:val="009301BD"/>
    <w:rsid w:val="009E0A6F"/>
    <w:rsid w:val="00A1773B"/>
    <w:rsid w:val="00A52928"/>
    <w:rsid w:val="00BC6117"/>
    <w:rsid w:val="00C16758"/>
    <w:rsid w:val="00D3069E"/>
    <w:rsid w:val="00E9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01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292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4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694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B77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5" Type="http://schemas.openxmlformats.org/officeDocument/2006/relationships/image" Target="media/image1.jpeg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eterka\Desktop\dopln&#283;n&#237;%20&#218;AP\podklad%20pro%20textovou%20&#269;&#225;st%20v&#253;voj%20vyhodnocen&#237;%20jednotliv&#253;ch%20t&#233;ma%20tvo&#345;&#237;c&#237;ch%20pil&#237;&#345;e%20tvrale%20udr&#382;iteln&#233;ho%20rozvoj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'2010'!$A$2</c:f>
              <c:strCache>
                <c:ptCount val="1"/>
                <c:pt idx="0">
                  <c:v>Bělčice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'2010'!$B$2:$N$2</c:f>
              <c:numCache>
                <c:formatCode>General</c:formatCode>
                <c:ptCount val="13"/>
                <c:pt idx="0">
                  <c:v>-2</c:v>
                </c:pt>
                <c:pt idx="1">
                  <c:v>0</c:v>
                </c:pt>
                <c:pt idx="2">
                  <c:v>-2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-1</c:v>
                </c:pt>
                <c:pt idx="9">
                  <c:v>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'2010'!$A$3</c:f>
              <c:strCache>
                <c:ptCount val="1"/>
                <c:pt idx="0">
                  <c:v>Bělčice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'2010'!$B$3:$N$3</c:f>
              <c:numCache>
                <c:formatCode>General</c:formatCode>
                <c:ptCount val="13"/>
                <c:pt idx="0">
                  <c:v>-2</c:v>
                </c:pt>
                <c:pt idx="1">
                  <c:v>1</c:v>
                </c:pt>
                <c:pt idx="2">
                  <c:v>-2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0</c:v>
                </c:pt>
              </c:numCache>
            </c:numRef>
          </c:val>
        </c:ser>
        <c:axId val="58403840"/>
        <c:axId val="58713984"/>
      </c:radarChart>
      <c:catAx>
        <c:axId val="58403840"/>
        <c:scaling>
          <c:orientation val="minMax"/>
        </c:scaling>
        <c:axPos val="b"/>
        <c:majorGridlines/>
        <c:numFmt formatCode="General" sourceLinked="1"/>
        <c:tickLblPos val="nextTo"/>
        <c:crossAx val="58713984"/>
        <c:crosses val="autoZero"/>
        <c:auto val="1"/>
        <c:lblAlgn val="ctr"/>
        <c:lblOffset val="100"/>
      </c:catAx>
      <c:valAx>
        <c:axId val="5871398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58403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5555555555505048E-5"/>
          <c:y val="0.82831984543598713"/>
          <c:w val="0.22494444444444464"/>
          <c:h val="0.16743438320209994"/>
        </c:manualLayout>
      </c:layout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'2010'!$A$20</c:f>
              <c:strCache>
                <c:ptCount val="1"/>
                <c:pt idx="0">
                  <c:v>Chlum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'2010'!$B$20:$N$20</c:f>
              <c:numCache>
                <c:formatCode>General</c:formatCode>
                <c:ptCount val="13"/>
                <c:pt idx="0">
                  <c:v>2</c:v>
                </c:pt>
                <c:pt idx="1">
                  <c:v>-2</c:v>
                </c:pt>
                <c:pt idx="2">
                  <c:v>0</c:v>
                </c:pt>
                <c:pt idx="3">
                  <c:v>-1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  <c:pt idx="9">
                  <c:v>-1</c:v>
                </c:pt>
                <c:pt idx="10">
                  <c:v>2</c:v>
                </c:pt>
                <c:pt idx="11">
                  <c:v>0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'2010'!$A$21</c:f>
              <c:strCache>
                <c:ptCount val="1"/>
                <c:pt idx="0">
                  <c:v>Chlum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'2010'!$B$21:$N$21</c:f>
              <c:numCache>
                <c:formatCode>General</c:formatCode>
                <c:ptCount val="13"/>
                <c:pt idx="0">
                  <c:v>1</c:v>
                </c:pt>
                <c:pt idx="1">
                  <c:v>-1</c:v>
                </c:pt>
                <c:pt idx="2">
                  <c:v>1</c:v>
                </c:pt>
                <c:pt idx="3">
                  <c:v>-1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-1</c:v>
                </c:pt>
                <c:pt idx="8">
                  <c:v>1</c:v>
                </c:pt>
                <c:pt idx="9">
                  <c:v>-2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</c:ser>
        <c:axId val="116292992"/>
        <c:axId val="116450048"/>
      </c:radarChart>
      <c:catAx>
        <c:axId val="116292992"/>
        <c:scaling>
          <c:orientation val="minMax"/>
        </c:scaling>
        <c:axPos val="b"/>
        <c:majorGridlines/>
        <c:numFmt formatCode="General" sourceLinked="1"/>
        <c:tickLblPos val="nextTo"/>
        <c:crossAx val="116450048"/>
        <c:crosses val="autoZero"/>
        <c:auto val="1"/>
        <c:lblAlgn val="ctr"/>
        <c:lblOffset val="100"/>
      </c:catAx>
      <c:valAx>
        <c:axId val="11645004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162929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3044619422578826E-4"/>
          <c:y val="0.82831984543598713"/>
          <c:w val="0.2185139982502188"/>
          <c:h val="0.16743438320209991"/>
        </c:manualLayout>
      </c:layout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'2010'!$A$22</c:f>
              <c:strCache>
                <c:ptCount val="1"/>
                <c:pt idx="0">
                  <c:v>Chobot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'2010'!$B$22:$N$22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-1</c:v>
                </c:pt>
                <c:pt idx="7">
                  <c:v>-1</c:v>
                </c:pt>
                <c:pt idx="8">
                  <c:v>-2</c:v>
                </c:pt>
                <c:pt idx="9">
                  <c:v>0</c:v>
                </c:pt>
                <c:pt idx="10">
                  <c:v>-2</c:v>
                </c:pt>
                <c:pt idx="11">
                  <c:v>-1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'2010'!$A$23</c:f>
              <c:strCache>
                <c:ptCount val="1"/>
                <c:pt idx="0">
                  <c:v>Chobot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'2010'!$B$23:$N$23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-2</c:v>
                </c:pt>
                <c:pt idx="6">
                  <c:v>-1</c:v>
                </c:pt>
                <c:pt idx="7">
                  <c:v>-2</c:v>
                </c:pt>
                <c:pt idx="8">
                  <c:v>-2</c:v>
                </c:pt>
                <c:pt idx="9">
                  <c:v>-1</c:v>
                </c:pt>
                <c:pt idx="10">
                  <c:v>-2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axId val="116699904"/>
        <c:axId val="116701824"/>
      </c:radarChart>
      <c:catAx>
        <c:axId val="116699904"/>
        <c:scaling>
          <c:orientation val="minMax"/>
        </c:scaling>
        <c:axPos val="b"/>
        <c:majorGridlines/>
        <c:numFmt formatCode="General" sourceLinked="1"/>
        <c:tickLblPos val="nextTo"/>
        <c:crossAx val="116701824"/>
        <c:crosses val="autoZero"/>
        <c:auto val="1"/>
        <c:lblAlgn val="ctr"/>
        <c:lblOffset val="100"/>
      </c:catAx>
      <c:valAx>
        <c:axId val="11670182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16699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000000000000772E-3"/>
          <c:y val="0.82831984543598713"/>
          <c:w val="0.22855555555555557"/>
          <c:h val="0.16743438320209991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'2010'!$A$24</c:f>
              <c:strCache>
                <c:ptCount val="1"/>
                <c:pt idx="0">
                  <c:v>Kadov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'2010'!$B$24:$N$24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-1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-2</c:v>
                </c:pt>
                <c:pt idx="9">
                  <c:v>2</c:v>
                </c:pt>
                <c:pt idx="10">
                  <c:v>-2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'2010'!$A$25</c:f>
              <c:strCache>
                <c:ptCount val="1"/>
                <c:pt idx="0">
                  <c:v>Kadov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'2010'!$B$25:$N$25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-1</c:v>
                </c:pt>
                <c:pt idx="5">
                  <c:v>1</c:v>
                </c:pt>
                <c:pt idx="6">
                  <c:v>0</c:v>
                </c:pt>
                <c:pt idx="7">
                  <c:v>-2</c:v>
                </c:pt>
                <c:pt idx="8">
                  <c:v>0</c:v>
                </c:pt>
                <c:pt idx="9">
                  <c:v>2</c:v>
                </c:pt>
                <c:pt idx="10">
                  <c:v>-1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</c:ser>
        <c:axId val="116829568"/>
        <c:axId val="116929664"/>
      </c:radarChart>
      <c:catAx>
        <c:axId val="116829568"/>
        <c:scaling>
          <c:orientation val="minMax"/>
        </c:scaling>
        <c:axPos val="b"/>
        <c:majorGridlines/>
        <c:numFmt formatCode="General" sourceLinked="1"/>
        <c:tickLblPos val="nextTo"/>
        <c:crossAx val="116929664"/>
        <c:crosses val="autoZero"/>
        <c:auto val="1"/>
        <c:lblAlgn val="ctr"/>
        <c:lblOffset val="100"/>
      </c:catAx>
      <c:valAx>
        <c:axId val="1169296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16829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1944444444444639E-3"/>
          <c:y val="0.82831984543598713"/>
          <c:w val="0.21547222222222231"/>
          <c:h val="0.16743438320209991"/>
        </c:manualLayout>
      </c:layout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'2010'!$A$26</c:f>
              <c:strCache>
                <c:ptCount val="1"/>
                <c:pt idx="0">
                  <c:v>Kocelovice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'2010'!$B$26:$N$26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-2</c:v>
                </c:pt>
                <c:pt idx="3">
                  <c:v>1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-2</c:v>
                </c:pt>
                <c:pt idx="8">
                  <c:v>-1</c:v>
                </c:pt>
                <c:pt idx="9">
                  <c:v>0</c:v>
                </c:pt>
                <c:pt idx="10">
                  <c:v>-1</c:v>
                </c:pt>
                <c:pt idx="11">
                  <c:v>2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'2010'!$A$27</c:f>
              <c:strCache>
                <c:ptCount val="1"/>
                <c:pt idx="0">
                  <c:v>Kocelovice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'2010'!$B$27:$N$27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-1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-2</c:v>
                </c:pt>
                <c:pt idx="8">
                  <c:v>1</c:v>
                </c:pt>
                <c:pt idx="9">
                  <c:v>-1</c:v>
                </c:pt>
                <c:pt idx="10">
                  <c:v>-1</c:v>
                </c:pt>
                <c:pt idx="11">
                  <c:v>2</c:v>
                </c:pt>
                <c:pt idx="12">
                  <c:v>1</c:v>
                </c:pt>
              </c:numCache>
            </c:numRef>
          </c:val>
        </c:ser>
        <c:axId val="117528832"/>
        <c:axId val="117531008"/>
      </c:radarChart>
      <c:catAx>
        <c:axId val="117528832"/>
        <c:scaling>
          <c:orientation val="minMax"/>
        </c:scaling>
        <c:axPos val="b"/>
        <c:majorGridlines/>
        <c:numFmt formatCode="General" sourceLinked="1"/>
        <c:tickLblPos val="nextTo"/>
        <c:crossAx val="117531008"/>
        <c:crosses val="autoZero"/>
        <c:auto val="1"/>
        <c:lblAlgn val="ctr"/>
        <c:lblOffset val="100"/>
      </c:catAx>
      <c:valAx>
        <c:axId val="11753100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17528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555555555555239E-4"/>
          <c:y val="0.82831984543598713"/>
          <c:w val="0.26611111111111113"/>
          <c:h val="0.16743438320209991"/>
        </c:manualLayout>
      </c:layout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'2010'!$A$28</c:f>
              <c:strCache>
                <c:ptCount val="1"/>
                <c:pt idx="0">
                  <c:v>Lažánky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'2010'!$B$28:$N$28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-1</c:v>
                </c:pt>
                <c:pt idx="6">
                  <c:v>-2</c:v>
                </c:pt>
                <c:pt idx="7">
                  <c:v>0</c:v>
                </c:pt>
                <c:pt idx="8">
                  <c:v>1</c:v>
                </c:pt>
                <c:pt idx="9">
                  <c:v>-1</c:v>
                </c:pt>
                <c:pt idx="10">
                  <c:v>-2</c:v>
                </c:pt>
                <c:pt idx="11">
                  <c:v>-1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'2010'!$A$29</c:f>
              <c:strCache>
                <c:ptCount val="1"/>
                <c:pt idx="0">
                  <c:v>Lažánky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'2010'!$B$29:$N$29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-1</c:v>
                </c:pt>
                <c:pt idx="6">
                  <c:v>-1</c:v>
                </c:pt>
                <c:pt idx="7">
                  <c:v>0</c:v>
                </c:pt>
                <c:pt idx="8">
                  <c:v>-1</c:v>
                </c:pt>
                <c:pt idx="9">
                  <c:v>-1</c:v>
                </c:pt>
                <c:pt idx="10">
                  <c:v>1</c:v>
                </c:pt>
                <c:pt idx="11">
                  <c:v>-2</c:v>
                </c:pt>
                <c:pt idx="12">
                  <c:v>0</c:v>
                </c:pt>
              </c:numCache>
            </c:numRef>
          </c:val>
        </c:ser>
        <c:axId val="69388160"/>
        <c:axId val="69389696"/>
      </c:radarChart>
      <c:catAx>
        <c:axId val="69388160"/>
        <c:scaling>
          <c:orientation val="minMax"/>
        </c:scaling>
        <c:axPos val="b"/>
        <c:majorGridlines/>
        <c:numFmt formatCode="General" sourceLinked="1"/>
        <c:tickLblPos val="nextTo"/>
        <c:crossAx val="69389696"/>
        <c:crosses val="autoZero"/>
        <c:auto val="1"/>
        <c:lblAlgn val="ctr"/>
        <c:lblOffset val="100"/>
      </c:catAx>
      <c:valAx>
        <c:axId val="69389696"/>
        <c:scaling>
          <c:orientation val="minMax"/>
          <c:max val="2"/>
        </c:scaling>
        <c:axPos val="l"/>
        <c:majorGridlines/>
        <c:numFmt formatCode="General" sourceLinked="1"/>
        <c:majorTickMark val="cross"/>
        <c:tickLblPos val="nextTo"/>
        <c:crossAx val="69388160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1.1111111111110487E-3"/>
          <c:y val="0.82831984543598713"/>
          <c:w val="0.23500000000000001"/>
          <c:h val="0.16743438320209991"/>
        </c:manualLayout>
      </c:layout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'2010'!$A$30</c:f>
              <c:strCache>
                <c:ptCount val="1"/>
                <c:pt idx="0">
                  <c:v>Lažany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'2010'!$B$30:$N$30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-2</c:v>
                </c:pt>
                <c:pt idx="7">
                  <c:v>-1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0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'2010'!$A$31</c:f>
              <c:strCache>
                <c:ptCount val="1"/>
                <c:pt idx="0">
                  <c:v>Lažany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'2010'!$B$31:$N$31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-1</c:v>
                </c:pt>
                <c:pt idx="6">
                  <c:v>-1</c:v>
                </c:pt>
                <c:pt idx="7">
                  <c:v>-2</c:v>
                </c:pt>
                <c:pt idx="8">
                  <c:v>1</c:v>
                </c:pt>
                <c:pt idx="9">
                  <c:v>-1</c:v>
                </c:pt>
                <c:pt idx="10">
                  <c:v>0</c:v>
                </c:pt>
                <c:pt idx="11">
                  <c:v>-1</c:v>
                </c:pt>
                <c:pt idx="12">
                  <c:v>2</c:v>
                </c:pt>
              </c:numCache>
            </c:numRef>
          </c:val>
        </c:ser>
        <c:axId val="69414272"/>
        <c:axId val="69440640"/>
      </c:radarChart>
      <c:catAx>
        <c:axId val="69414272"/>
        <c:scaling>
          <c:orientation val="minMax"/>
        </c:scaling>
        <c:axPos val="b"/>
        <c:majorGridlines/>
        <c:numFmt formatCode="General" sourceLinked="1"/>
        <c:tickLblPos val="nextTo"/>
        <c:crossAx val="69440640"/>
        <c:crosses val="autoZero"/>
        <c:auto val="1"/>
        <c:lblAlgn val="ctr"/>
        <c:lblOffset val="100"/>
      </c:catAx>
      <c:valAx>
        <c:axId val="6944064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6941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6248906386701146E-3"/>
          <c:y val="0.82831984543598713"/>
          <c:w val="0.22237510936132984"/>
          <c:h val="0.16743438320209991"/>
        </c:manualLayout>
      </c:layout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'2010'!$A$32</c:f>
              <c:strCache>
                <c:ptCount val="1"/>
                <c:pt idx="0">
                  <c:v>Lnáře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'2010'!$B$32:$N$32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-2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-2</c:v>
                </c:pt>
                <c:pt idx="9">
                  <c:v>2</c:v>
                </c:pt>
                <c:pt idx="10">
                  <c:v>-1</c:v>
                </c:pt>
                <c:pt idx="11">
                  <c:v>-1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'2010'!$A$33</c:f>
              <c:strCache>
                <c:ptCount val="1"/>
                <c:pt idx="0">
                  <c:v>Lnáře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'2010'!$B$33:$N$33</c:f>
              <c:numCache>
                <c:formatCode>General</c:formatCode>
                <c:ptCount val="13"/>
                <c:pt idx="0">
                  <c:v>-1</c:v>
                </c:pt>
                <c:pt idx="1">
                  <c:v>2</c:v>
                </c:pt>
                <c:pt idx="2">
                  <c:v>-2</c:v>
                </c:pt>
                <c:pt idx="3">
                  <c:v>1</c:v>
                </c:pt>
                <c:pt idx="4">
                  <c:v>-1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-1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-1</c:v>
                </c:pt>
              </c:numCache>
            </c:numRef>
          </c:val>
        </c:ser>
        <c:axId val="79185024"/>
        <c:axId val="79186560"/>
      </c:radarChart>
      <c:catAx>
        <c:axId val="79185024"/>
        <c:scaling>
          <c:orientation val="minMax"/>
        </c:scaling>
        <c:axPos val="b"/>
        <c:majorGridlines/>
        <c:numFmt formatCode="General" sourceLinked="1"/>
        <c:tickLblPos val="nextTo"/>
        <c:crossAx val="79186560"/>
        <c:crosses val="autoZero"/>
        <c:auto val="1"/>
        <c:lblAlgn val="ctr"/>
        <c:lblOffset val="100"/>
      </c:catAx>
      <c:valAx>
        <c:axId val="791865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79185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83333333333335E-3"/>
          <c:y val="0.82831984543598713"/>
          <c:w val="0.20902777777777778"/>
          <c:h val="0.16743438320209991"/>
        </c:manualLayout>
      </c:layout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'2010'!$A$34</c:f>
              <c:strCache>
                <c:ptCount val="1"/>
                <c:pt idx="0">
                  <c:v>Lom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'2010'!$B$34:$N$34</c:f>
              <c:numCache>
                <c:formatCode>General</c:formatCode>
                <c:ptCount val="13"/>
                <c:pt idx="0">
                  <c:v>0</c:v>
                </c:pt>
                <c:pt idx="1">
                  <c:v>-1</c:v>
                </c:pt>
                <c:pt idx="2">
                  <c:v>0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-1</c:v>
                </c:pt>
                <c:pt idx="7">
                  <c:v>0</c:v>
                </c:pt>
                <c:pt idx="8">
                  <c:v>-1</c:v>
                </c:pt>
                <c:pt idx="9">
                  <c:v>1</c:v>
                </c:pt>
                <c:pt idx="10">
                  <c:v>1</c:v>
                </c:pt>
                <c:pt idx="11">
                  <c:v>-2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'2010'!$A$35</c:f>
              <c:strCache>
                <c:ptCount val="1"/>
                <c:pt idx="0">
                  <c:v>Lom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'2010'!$B$35:$N$35</c:f>
              <c:numCache>
                <c:formatCode>General</c:formatCode>
                <c:ptCount val="13"/>
                <c:pt idx="0">
                  <c:v>0</c:v>
                </c:pt>
                <c:pt idx="1">
                  <c:v>-2</c:v>
                </c:pt>
                <c:pt idx="2">
                  <c:v>1</c:v>
                </c:pt>
                <c:pt idx="3">
                  <c:v>-1</c:v>
                </c:pt>
                <c:pt idx="4">
                  <c:v>1</c:v>
                </c:pt>
                <c:pt idx="5">
                  <c:v>1</c:v>
                </c:pt>
                <c:pt idx="6">
                  <c:v>-1</c:v>
                </c:pt>
                <c:pt idx="7">
                  <c:v>-2</c:v>
                </c:pt>
                <c:pt idx="8">
                  <c:v>-1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axId val="80353920"/>
        <c:axId val="80368000"/>
      </c:radarChart>
      <c:catAx>
        <c:axId val="80353920"/>
        <c:scaling>
          <c:orientation val="minMax"/>
        </c:scaling>
        <c:axPos val="b"/>
        <c:majorGridlines/>
        <c:numFmt formatCode="General" sourceLinked="1"/>
        <c:tickLblPos val="nextTo"/>
        <c:crossAx val="80368000"/>
        <c:crosses val="autoZero"/>
        <c:auto val="1"/>
        <c:lblAlgn val="ctr"/>
        <c:lblOffset val="100"/>
      </c:catAx>
      <c:valAx>
        <c:axId val="80368000"/>
        <c:scaling>
          <c:orientation val="minMax"/>
          <c:max val="2"/>
        </c:scaling>
        <c:axPos val="l"/>
        <c:majorGridlines/>
        <c:numFmt formatCode="General" sourceLinked="1"/>
        <c:majorTickMark val="cross"/>
        <c:tickLblPos val="nextTo"/>
        <c:crossAx val="80353920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2.0277777777778323E-3"/>
          <c:y val="0.82831984543598713"/>
          <c:w val="0.20075000000000001"/>
          <c:h val="0.16743438320209991"/>
        </c:manualLayout>
      </c:layout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'2010'!$A$36</c:f>
              <c:strCache>
                <c:ptCount val="1"/>
                <c:pt idx="0">
                  <c:v>Mačkov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'2010'!$B$36:$N$36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-1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-2</c:v>
                </c:pt>
                <c:pt idx="11">
                  <c:v>0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'2010'!$A$37</c:f>
              <c:strCache>
                <c:ptCount val="1"/>
                <c:pt idx="0">
                  <c:v>Mačkov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'2010'!$B$37:$N$37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-1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0</c:v>
                </c:pt>
                <c:pt idx="11">
                  <c:v>1</c:v>
                </c:pt>
                <c:pt idx="12">
                  <c:v>-2</c:v>
                </c:pt>
              </c:numCache>
            </c:numRef>
          </c:val>
        </c:ser>
        <c:axId val="80384384"/>
        <c:axId val="80385920"/>
      </c:radarChart>
      <c:catAx>
        <c:axId val="80384384"/>
        <c:scaling>
          <c:orientation val="minMax"/>
        </c:scaling>
        <c:axPos val="b"/>
        <c:majorGridlines/>
        <c:numFmt formatCode="General" sourceLinked="1"/>
        <c:tickLblPos val="nextTo"/>
        <c:crossAx val="80385920"/>
        <c:crosses val="autoZero"/>
        <c:auto val="1"/>
        <c:lblAlgn val="ctr"/>
        <c:lblOffset val="100"/>
      </c:catAx>
      <c:valAx>
        <c:axId val="8038592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0384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5415573053368186E-3"/>
          <c:y val="0.82831984543598713"/>
          <c:w val="0.23456955380577429"/>
          <c:h val="0.16743438320209991"/>
        </c:manualLayout>
      </c:layout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'2010'!$A$38</c:f>
              <c:strCache>
                <c:ptCount val="1"/>
                <c:pt idx="0">
                  <c:v>Myštice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'2010'!$B$38:$N$38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-2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-1</c:v>
                </c:pt>
                <c:pt idx="8">
                  <c:v>-2</c:v>
                </c:pt>
                <c:pt idx="9">
                  <c:v>2</c:v>
                </c:pt>
                <c:pt idx="10">
                  <c:v>1</c:v>
                </c:pt>
                <c:pt idx="11">
                  <c:v>-2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'2010'!$A$39</c:f>
              <c:strCache>
                <c:ptCount val="1"/>
                <c:pt idx="0">
                  <c:v>Myštice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'2010'!$B$39:$N$39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-2</c:v>
                </c:pt>
                <c:pt idx="3">
                  <c:v>0</c:v>
                </c:pt>
                <c:pt idx="4">
                  <c:v>-1</c:v>
                </c:pt>
                <c:pt idx="5">
                  <c:v>0</c:v>
                </c:pt>
                <c:pt idx="6">
                  <c:v>1</c:v>
                </c:pt>
                <c:pt idx="7">
                  <c:v>-1</c:v>
                </c:pt>
                <c:pt idx="8">
                  <c:v>-1</c:v>
                </c:pt>
                <c:pt idx="9">
                  <c:v>1</c:v>
                </c:pt>
                <c:pt idx="10">
                  <c:v>-1</c:v>
                </c:pt>
                <c:pt idx="11">
                  <c:v>-2</c:v>
                </c:pt>
                <c:pt idx="12">
                  <c:v>2</c:v>
                </c:pt>
              </c:numCache>
            </c:numRef>
          </c:val>
        </c:ser>
        <c:axId val="80403072"/>
        <c:axId val="80613760"/>
      </c:radarChart>
      <c:catAx>
        <c:axId val="80403072"/>
        <c:scaling>
          <c:orientation val="minMax"/>
        </c:scaling>
        <c:axPos val="b"/>
        <c:majorGridlines/>
        <c:numFmt formatCode="General" sourceLinked="1"/>
        <c:tickLblPos val="nextTo"/>
        <c:crossAx val="80613760"/>
        <c:crosses val="autoZero"/>
        <c:auto val="1"/>
        <c:lblAlgn val="ctr"/>
        <c:lblOffset val="100"/>
      </c:catAx>
      <c:valAx>
        <c:axId val="806137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040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550901888295661E-3"/>
          <c:y val="0.82831984543598713"/>
          <c:w val="0.1865821295300096"/>
          <c:h val="0.1674343832020998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'2010'!$A$4</c:f>
              <c:strCache>
                <c:ptCount val="1"/>
                <c:pt idx="0">
                  <c:v>Bezdědovice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'2010'!$B$4:$N$4</c:f>
              <c:numCache>
                <c:formatCode>General</c:formatCode>
                <c:ptCount val="13"/>
                <c:pt idx="0">
                  <c:v>1</c:v>
                </c:pt>
                <c:pt idx="1">
                  <c:v>-1</c:v>
                </c:pt>
                <c:pt idx="2">
                  <c:v>-1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-2</c:v>
                </c:pt>
                <c:pt idx="9">
                  <c:v>-1</c:v>
                </c:pt>
                <c:pt idx="10">
                  <c:v>0</c:v>
                </c:pt>
                <c:pt idx="11">
                  <c:v>1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'2010'!$A$5</c:f>
              <c:strCache>
                <c:ptCount val="1"/>
                <c:pt idx="0">
                  <c:v>Bezdědovice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'2010'!$B$5:$N$5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-1</c:v>
                </c:pt>
                <c:pt idx="8">
                  <c:v>2</c:v>
                </c:pt>
                <c:pt idx="9">
                  <c:v>-1</c:v>
                </c:pt>
                <c:pt idx="10">
                  <c:v>-1</c:v>
                </c:pt>
                <c:pt idx="11">
                  <c:v>1</c:v>
                </c:pt>
                <c:pt idx="12">
                  <c:v>-2</c:v>
                </c:pt>
              </c:numCache>
            </c:numRef>
          </c:val>
        </c:ser>
        <c:axId val="58886784"/>
        <c:axId val="59052416"/>
      </c:radarChart>
      <c:catAx>
        <c:axId val="58886784"/>
        <c:scaling>
          <c:orientation val="minMax"/>
        </c:scaling>
        <c:axPos val="b"/>
        <c:majorGridlines/>
        <c:numFmt formatCode="General" sourceLinked="1"/>
        <c:tickLblPos val="nextTo"/>
        <c:crossAx val="59052416"/>
        <c:crosses val="autoZero"/>
        <c:auto val="1"/>
        <c:lblAlgn val="ctr"/>
        <c:lblOffset val="100"/>
      </c:catAx>
      <c:valAx>
        <c:axId val="5905241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58886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8888888888887083E-4"/>
          <c:y val="0.82831984543598713"/>
          <c:w val="0.28800000000000014"/>
          <c:h val="0.16743438320209991"/>
        </c:manualLayout>
      </c:layout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'2010'!$A$40</c:f>
              <c:strCache>
                <c:ptCount val="1"/>
                <c:pt idx="0">
                  <c:v>Předmíř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'2010'!$B$40:$N$40</c:f>
              <c:numCache>
                <c:formatCode>General</c:formatCode>
                <c:ptCount val="13"/>
                <c:pt idx="0">
                  <c:v>-1</c:v>
                </c:pt>
                <c:pt idx="1">
                  <c:v>2</c:v>
                </c:pt>
                <c:pt idx="2">
                  <c:v>-1</c:v>
                </c:pt>
                <c:pt idx="3">
                  <c:v>0</c:v>
                </c:pt>
                <c:pt idx="4">
                  <c:v>-1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-1</c:v>
                </c:pt>
                <c:pt idx="10">
                  <c:v>2</c:v>
                </c:pt>
                <c:pt idx="11">
                  <c:v>-1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'2010'!$A$41</c:f>
              <c:strCache>
                <c:ptCount val="1"/>
                <c:pt idx="0">
                  <c:v>Předmíř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'2010'!$B$41:$N$41</c:f>
              <c:numCache>
                <c:formatCode>General</c:formatCode>
                <c:ptCount val="13"/>
                <c:pt idx="0">
                  <c:v>-1</c:v>
                </c:pt>
                <c:pt idx="1">
                  <c:v>2</c:v>
                </c:pt>
                <c:pt idx="2">
                  <c:v>-1</c:v>
                </c:pt>
                <c:pt idx="3">
                  <c:v>-1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-1</c:v>
                </c:pt>
                <c:pt idx="8">
                  <c:v>1</c:v>
                </c:pt>
                <c:pt idx="9">
                  <c:v>-1</c:v>
                </c:pt>
                <c:pt idx="10">
                  <c:v>-1</c:v>
                </c:pt>
                <c:pt idx="11">
                  <c:v>1</c:v>
                </c:pt>
                <c:pt idx="12">
                  <c:v>-1</c:v>
                </c:pt>
              </c:numCache>
            </c:numRef>
          </c:val>
        </c:ser>
        <c:axId val="80633216"/>
        <c:axId val="80651392"/>
      </c:radarChart>
      <c:catAx>
        <c:axId val="80633216"/>
        <c:scaling>
          <c:orientation val="minMax"/>
        </c:scaling>
        <c:axPos val="b"/>
        <c:majorGridlines/>
        <c:numFmt formatCode="General" sourceLinked="1"/>
        <c:tickLblPos val="nextTo"/>
        <c:crossAx val="80651392"/>
        <c:crosses val="autoZero"/>
        <c:auto val="1"/>
        <c:lblAlgn val="ctr"/>
        <c:lblOffset val="100"/>
      </c:catAx>
      <c:valAx>
        <c:axId val="80651392"/>
        <c:scaling>
          <c:orientation val="minMax"/>
          <c:min val="-2"/>
        </c:scaling>
        <c:axPos val="l"/>
        <c:majorGridlines/>
        <c:numFmt formatCode="General" sourceLinked="1"/>
        <c:majorTickMark val="cross"/>
        <c:tickLblPos val="nextTo"/>
        <c:crossAx val="80633216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2.2500000000000081E-3"/>
          <c:y val="0.82831984543598713"/>
          <c:w val="0.2366388888888889"/>
          <c:h val="0.16743438320209991"/>
        </c:manualLayout>
      </c:layout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'2010'!$A$42</c:f>
              <c:strCache>
                <c:ptCount val="1"/>
                <c:pt idx="0">
                  <c:v>Sedlice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'2010'!$B$42:$N$42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-1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-1</c:v>
                </c:pt>
                <c:pt idx="9">
                  <c:v>2</c:v>
                </c:pt>
                <c:pt idx="10">
                  <c:v>-1</c:v>
                </c:pt>
                <c:pt idx="11">
                  <c:v>-1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'2010'!$A$43</c:f>
              <c:strCache>
                <c:ptCount val="1"/>
                <c:pt idx="0">
                  <c:v>Sedlice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'2010'!$B$43:$N$43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-1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-1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axId val="80942208"/>
        <c:axId val="80943744"/>
      </c:radarChart>
      <c:catAx>
        <c:axId val="80942208"/>
        <c:scaling>
          <c:orientation val="minMax"/>
        </c:scaling>
        <c:axPos val="b"/>
        <c:majorGridlines/>
        <c:numFmt formatCode="General" sourceLinked="1"/>
        <c:tickLblPos val="nextTo"/>
        <c:crossAx val="80943744"/>
        <c:crosses val="autoZero"/>
        <c:auto val="1"/>
        <c:lblAlgn val="ctr"/>
        <c:lblOffset val="100"/>
      </c:catAx>
      <c:valAx>
        <c:axId val="80943744"/>
        <c:scaling>
          <c:orientation val="minMax"/>
          <c:min val="-2"/>
        </c:scaling>
        <c:axPos val="l"/>
        <c:majorGridlines/>
        <c:numFmt formatCode="General" sourceLinked="1"/>
        <c:majorTickMark val="cross"/>
        <c:tickLblPos val="nextTo"/>
        <c:crossAx val="80942208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2.3333333333332637E-3"/>
          <c:y val="0.82831984543598713"/>
          <c:w val="0.22544444444444461"/>
          <c:h val="0.16743438320209991"/>
        </c:manualLayout>
      </c:layout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'2010'!$A$44</c:f>
              <c:strCache>
                <c:ptCount val="1"/>
                <c:pt idx="0">
                  <c:v>Škvořetice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'2010'!$B$44:$N$44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-1</c:v>
                </c:pt>
                <c:pt idx="3">
                  <c:v>-2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-1</c:v>
                </c:pt>
                <c:pt idx="9">
                  <c:v>1</c:v>
                </c:pt>
                <c:pt idx="10">
                  <c:v>-1</c:v>
                </c:pt>
                <c:pt idx="11">
                  <c:v>0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'2010'!$A$45</c:f>
              <c:strCache>
                <c:ptCount val="1"/>
                <c:pt idx="0">
                  <c:v>Škvořetice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'2010'!$B$45:$N$45</c:f>
              <c:numCache>
                <c:formatCode>General</c:formatCode>
                <c:ptCount val="13"/>
                <c:pt idx="0">
                  <c:v>0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1</c:v>
                </c:pt>
                <c:pt idx="5">
                  <c:v>1</c:v>
                </c:pt>
                <c:pt idx="6">
                  <c:v>-1</c:v>
                </c:pt>
                <c:pt idx="7">
                  <c:v>-1</c:v>
                </c:pt>
                <c:pt idx="8">
                  <c:v>1</c:v>
                </c:pt>
                <c:pt idx="9">
                  <c:v>0</c:v>
                </c:pt>
                <c:pt idx="10">
                  <c:v>-1</c:v>
                </c:pt>
                <c:pt idx="11">
                  <c:v>1</c:v>
                </c:pt>
                <c:pt idx="12">
                  <c:v>-1</c:v>
                </c:pt>
              </c:numCache>
            </c:numRef>
          </c:val>
        </c:ser>
        <c:axId val="81013376"/>
        <c:axId val="81027456"/>
      </c:radarChart>
      <c:catAx>
        <c:axId val="81013376"/>
        <c:scaling>
          <c:orientation val="minMax"/>
        </c:scaling>
        <c:axPos val="b"/>
        <c:majorGridlines/>
        <c:numFmt formatCode="General" sourceLinked="1"/>
        <c:tickLblPos val="nextTo"/>
        <c:crossAx val="81027456"/>
        <c:crosses val="autoZero"/>
        <c:auto val="1"/>
        <c:lblAlgn val="ctr"/>
        <c:lblOffset val="100"/>
      </c:catAx>
      <c:valAx>
        <c:axId val="81027456"/>
        <c:scaling>
          <c:orientation val="minMax"/>
          <c:max val="2"/>
        </c:scaling>
        <c:axPos val="l"/>
        <c:majorGridlines/>
        <c:numFmt formatCode="General" sourceLinked="1"/>
        <c:majorTickMark val="cross"/>
        <c:tickLblPos val="nextTo"/>
        <c:crossAx val="81013376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6.1111111111118732E-4"/>
          <c:y val="0.82831984543598713"/>
          <c:w val="0.26327777777777794"/>
          <c:h val="0.16743438320209991"/>
        </c:manualLayout>
      </c:layout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'2010'!$A$46</c:f>
              <c:strCache>
                <c:ptCount val="1"/>
                <c:pt idx="0">
                  <c:v>Tchořovice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'2010'!$B$46:$N$46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-1</c:v>
                </c:pt>
                <c:pt idx="3">
                  <c:v>2</c:v>
                </c:pt>
                <c:pt idx="4">
                  <c:v>-1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tx>
            <c:strRef>
              <c:f>'2010'!$A$47</c:f>
              <c:strCache>
                <c:ptCount val="1"/>
                <c:pt idx="0">
                  <c:v>Tchořovice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'2010'!$B$47:$N$47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-1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-1</c:v>
                </c:pt>
                <c:pt idx="8">
                  <c:v>2</c:v>
                </c:pt>
                <c:pt idx="9">
                  <c:v>0</c:v>
                </c:pt>
                <c:pt idx="10">
                  <c:v>-1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axId val="81047936"/>
        <c:axId val="81049472"/>
      </c:radarChart>
      <c:catAx>
        <c:axId val="81047936"/>
        <c:scaling>
          <c:orientation val="minMax"/>
        </c:scaling>
        <c:axPos val="b"/>
        <c:majorGridlines/>
        <c:numFmt formatCode="General" sourceLinked="1"/>
        <c:tickLblPos val="nextTo"/>
        <c:crossAx val="81049472"/>
        <c:crosses val="autoZero"/>
        <c:auto val="1"/>
        <c:lblAlgn val="ctr"/>
        <c:lblOffset val="100"/>
      </c:catAx>
      <c:valAx>
        <c:axId val="81049472"/>
        <c:scaling>
          <c:orientation val="minMax"/>
          <c:min val="-2"/>
        </c:scaling>
        <c:axPos val="l"/>
        <c:majorGridlines/>
        <c:numFmt formatCode="General" sourceLinked="1"/>
        <c:majorTickMark val="cross"/>
        <c:tickLblPos val="nextTo"/>
        <c:crossAx val="81047936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1.3888888888892063E-4"/>
          <c:y val="0.82831984543598713"/>
          <c:w val="0.26930555555555558"/>
          <c:h val="0.16743438320209991"/>
        </c:manualLayout>
      </c:layout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'2010'!$A$48</c:f>
              <c:strCache>
                <c:ptCount val="1"/>
                <c:pt idx="0">
                  <c:v>Uzenice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'2010'!$B$48:$N$48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-2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'2010'!$A$49</c:f>
              <c:strCache>
                <c:ptCount val="1"/>
                <c:pt idx="0">
                  <c:v>Uzenice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'2010'!$B$49:$N$49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-1</c:v>
                </c:pt>
                <c:pt idx="4">
                  <c:v>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</c:ser>
        <c:axId val="81278848"/>
        <c:axId val="81280384"/>
      </c:radarChart>
      <c:catAx>
        <c:axId val="81278848"/>
        <c:scaling>
          <c:orientation val="minMax"/>
        </c:scaling>
        <c:axPos val="b"/>
        <c:majorGridlines/>
        <c:numFmt formatCode="General" sourceLinked="1"/>
        <c:tickLblPos val="nextTo"/>
        <c:crossAx val="81280384"/>
        <c:crosses val="autoZero"/>
        <c:auto val="1"/>
        <c:lblAlgn val="ctr"/>
        <c:lblOffset val="100"/>
      </c:catAx>
      <c:valAx>
        <c:axId val="8128038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1278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831984543598713"/>
          <c:w val="0.23509733158355217"/>
          <c:h val="0.16743438320209991"/>
        </c:manualLayout>
      </c:layout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'2010'!$A$50</c:f>
              <c:strCache>
                <c:ptCount val="1"/>
                <c:pt idx="0">
                  <c:v>Uzeničky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'2010'!$B$50:$N$50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-2</c:v>
                </c:pt>
                <c:pt idx="8">
                  <c:v>-2</c:v>
                </c:pt>
                <c:pt idx="9">
                  <c:v>0</c:v>
                </c:pt>
                <c:pt idx="10">
                  <c:v>-1</c:v>
                </c:pt>
                <c:pt idx="11">
                  <c:v>0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'2010'!$A$51</c:f>
              <c:strCache>
                <c:ptCount val="1"/>
                <c:pt idx="0">
                  <c:v>Uzeničky 2012 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'2010'!$B$51:$N$51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-1</c:v>
                </c:pt>
                <c:pt idx="4">
                  <c:v>1</c:v>
                </c:pt>
                <c:pt idx="5">
                  <c:v>-1</c:v>
                </c:pt>
                <c:pt idx="6">
                  <c:v>0</c:v>
                </c:pt>
                <c:pt idx="7">
                  <c:v>-2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2</c:v>
                </c:pt>
              </c:numCache>
            </c:numRef>
          </c:val>
        </c:ser>
        <c:axId val="81292672"/>
        <c:axId val="81294464"/>
      </c:radarChart>
      <c:catAx>
        <c:axId val="81292672"/>
        <c:scaling>
          <c:orientation val="minMax"/>
        </c:scaling>
        <c:axPos val="b"/>
        <c:majorGridlines/>
        <c:numFmt formatCode="General" sourceLinked="1"/>
        <c:tickLblPos val="nextTo"/>
        <c:crossAx val="81294464"/>
        <c:crosses val="autoZero"/>
        <c:auto val="1"/>
        <c:lblAlgn val="ctr"/>
        <c:lblOffset val="100"/>
      </c:catAx>
      <c:valAx>
        <c:axId val="812944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1292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7777777777752565E-5"/>
          <c:y val="0.82831984543598713"/>
          <c:w val="0.25274999999999997"/>
          <c:h val="0.16743438320209991"/>
        </c:manualLayout>
      </c:layout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'2010'!$A$52</c:f>
              <c:strCache>
                <c:ptCount val="1"/>
                <c:pt idx="0">
                  <c:v>Záboří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'2010'!$B$52:$N$52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-1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-2</c:v>
                </c:pt>
                <c:pt idx="7">
                  <c:v>0</c:v>
                </c:pt>
                <c:pt idx="8">
                  <c:v>-1</c:v>
                </c:pt>
                <c:pt idx="9">
                  <c:v>0</c:v>
                </c:pt>
                <c:pt idx="10">
                  <c:v>2</c:v>
                </c:pt>
                <c:pt idx="11">
                  <c:v>1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'2010'!$A$53</c:f>
              <c:strCache>
                <c:ptCount val="1"/>
                <c:pt idx="0">
                  <c:v>Záboří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'2010'!$B$53:$N$53</c:f>
              <c:numCache>
                <c:formatCode>General</c:formatCode>
                <c:ptCount val="13"/>
                <c:pt idx="0">
                  <c:v>-1</c:v>
                </c:pt>
                <c:pt idx="1">
                  <c:v>1</c:v>
                </c:pt>
                <c:pt idx="2">
                  <c:v>-1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-1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axId val="81331328"/>
        <c:axId val="81332864"/>
      </c:radarChart>
      <c:catAx>
        <c:axId val="81331328"/>
        <c:scaling>
          <c:orientation val="minMax"/>
        </c:scaling>
        <c:axPos val="b"/>
        <c:majorGridlines/>
        <c:numFmt formatCode="General" sourceLinked="1"/>
        <c:tickLblPos val="nextTo"/>
        <c:crossAx val="81332864"/>
        <c:crosses val="autoZero"/>
        <c:auto val="1"/>
        <c:lblAlgn val="ctr"/>
        <c:lblOffset val="100"/>
      </c:catAx>
      <c:valAx>
        <c:axId val="813328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133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748906386701631E-3"/>
          <c:y val="0.82831984543598713"/>
          <c:w val="0.21756955380577436"/>
          <c:h val="0.16743438320209991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'2010'!$A$6</c:f>
              <c:strCache>
                <c:ptCount val="1"/>
                <c:pt idx="0">
                  <c:v>Blatná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'2010'!$B$6:$N$6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-2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-1</c:v>
                </c:pt>
                <c:pt idx="11">
                  <c:v>0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'2010'!$A$7</c:f>
              <c:strCache>
                <c:ptCount val="1"/>
                <c:pt idx="0">
                  <c:v>Blatná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'2010'!$B$7:$N$7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-2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</c:ser>
        <c:axId val="59303040"/>
        <c:axId val="59304576"/>
      </c:radarChart>
      <c:catAx>
        <c:axId val="59303040"/>
        <c:scaling>
          <c:orientation val="minMax"/>
        </c:scaling>
        <c:axPos val="b"/>
        <c:majorGridlines/>
        <c:numFmt formatCode="General" sourceLinked="1"/>
        <c:tickLblPos val="nextTo"/>
        <c:crossAx val="59304576"/>
        <c:crosses val="autoZero"/>
        <c:auto val="1"/>
        <c:lblAlgn val="ctr"/>
        <c:lblOffset val="100"/>
      </c:catAx>
      <c:valAx>
        <c:axId val="5930457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59303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5000000000000575E-3"/>
          <c:y val="0.82831984543598713"/>
          <c:w val="0.21794444444444466"/>
          <c:h val="0.16743438320209991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'2010'!$A$8</c:f>
              <c:strCache>
                <c:ptCount val="1"/>
                <c:pt idx="0">
                  <c:v>Bratronice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'2010'!$B$8:$N$8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-2</c:v>
                </c:pt>
                <c:pt idx="7">
                  <c:v>-1</c:v>
                </c:pt>
                <c:pt idx="8">
                  <c:v>-1</c:v>
                </c:pt>
                <c:pt idx="9">
                  <c:v>0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'2010'!$A$9</c:f>
              <c:strCache>
                <c:ptCount val="1"/>
                <c:pt idx="0">
                  <c:v>Bratronice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'2010'!$B$9:$N$9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-2</c:v>
                </c:pt>
                <c:pt idx="7">
                  <c:v>-2</c:v>
                </c:pt>
                <c:pt idx="8">
                  <c:v>-1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</c:ser>
        <c:axId val="69343104"/>
        <c:axId val="69349760"/>
      </c:radarChart>
      <c:catAx>
        <c:axId val="69343104"/>
        <c:scaling>
          <c:orientation val="minMax"/>
        </c:scaling>
        <c:axPos val="b"/>
        <c:majorGridlines/>
        <c:numFmt formatCode="General" sourceLinked="1"/>
        <c:tickLblPos val="nextTo"/>
        <c:crossAx val="69349760"/>
        <c:crosses val="autoZero"/>
        <c:auto val="1"/>
        <c:lblAlgn val="ctr"/>
        <c:lblOffset val="100"/>
      </c:catAx>
      <c:valAx>
        <c:axId val="693497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69343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4444444444444336E-3"/>
          <c:y val="0.82831984543598713"/>
          <c:w val="0.2642222222222223"/>
          <c:h val="0.16743438320209991"/>
        </c:manualLayout>
      </c:layout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'2010'!$A$10</c:f>
              <c:strCache>
                <c:ptCount val="1"/>
                <c:pt idx="0">
                  <c:v>Březí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'2010'!$B$10:$N$10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-2</c:v>
                </c:pt>
                <c:pt idx="7">
                  <c:v>-1</c:v>
                </c:pt>
                <c:pt idx="8">
                  <c:v>-1</c:v>
                </c:pt>
                <c:pt idx="9">
                  <c:v>0</c:v>
                </c:pt>
                <c:pt idx="10">
                  <c:v>-1</c:v>
                </c:pt>
                <c:pt idx="11">
                  <c:v>-2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'2010'!$A$11</c:f>
              <c:strCache>
                <c:ptCount val="1"/>
                <c:pt idx="0">
                  <c:v>Březí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'2010'!$B$11:$N$11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-1</c:v>
                </c:pt>
                <c:pt idx="7">
                  <c:v>-2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2</c:v>
                </c:pt>
              </c:numCache>
            </c:numRef>
          </c:val>
        </c:ser>
        <c:axId val="79222656"/>
        <c:axId val="79368960"/>
      </c:radarChart>
      <c:catAx>
        <c:axId val="79222656"/>
        <c:scaling>
          <c:orientation val="minMax"/>
        </c:scaling>
        <c:axPos val="b"/>
        <c:majorGridlines/>
        <c:numFmt formatCode="General" sourceLinked="1"/>
        <c:tickLblPos val="nextTo"/>
        <c:crossAx val="79368960"/>
        <c:crosses val="autoZero"/>
        <c:auto val="1"/>
        <c:lblAlgn val="ctr"/>
        <c:lblOffset val="100"/>
      </c:catAx>
      <c:valAx>
        <c:axId val="79368960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79222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831984543598713"/>
          <c:w val="0.20190288713910776"/>
          <c:h val="0.16743438320209991"/>
        </c:manualLayout>
      </c:layout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'2010'!$A$12</c:f>
              <c:strCache>
                <c:ptCount val="1"/>
                <c:pt idx="0">
                  <c:v>Buzice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'2010'!$B$12:$N$12</c:f>
              <c:numCache>
                <c:formatCode>General</c:formatCode>
                <c:ptCount val="13"/>
                <c:pt idx="0">
                  <c:v>0</c:v>
                </c:pt>
                <c:pt idx="1">
                  <c:v>-1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-1</c:v>
                </c:pt>
                <c:pt idx="8">
                  <c:v>-2</c:v>
                </c:pt>
                <c:pt idx="9">
                  <c:v>0</c:v>
                </c:pt>
                <c:pt idx="10">
                  <c:v>1</c:v>
                </c:pt>
                <c:pt idx="11">
                  <c:v>-2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'2010'!$A$13</c:f>
              <c:strCache>
                <c:ptCount val="1"/>
                <c:pt idx="0">
                  <c:v>Buzice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'2010'!$B$13:$N$13</c:f>
              <c:numCache>
                <c:formatCode>General</c:formatCode>
                <c:ptCount val="13"/>
                <c:pt idx="0">
                  <c:v>0</c:v>
                </c:pt>
                <c:pt idx="1">
                  <c:v>-1</c:v>
                </c:pt>
                <c:pt idx="2">
                  <c:v>-1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-1</c:v>
                </c:pt>
                <c:pt idx="7">
                  <c:v>-1</c:v>
                </c:pt>
                <c:pt idx="8">
                  <c:v>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0</c:v>
                </c:pt>
              </c:numCache>
            </c:numRef>
          </c:val>
        </c:ser>
        <c:axId val="80712064"/>
        <c:axId val="80801792"/>
      </c:radarChart>
      <c:catAx>
        <c:axId val="80712064"/>
        <c:scaling>
          <c:orientation val="minMax"/>
        </c:scaling>
        <c:axPos val="b"/>
        <c:majorGridlines/>
        <c:numFmt formatCode="General" sourceLinked="1"/>
        <c:tickLblPos val="nextTo"/>
        <c:crossAx val="80801792"/>
        <c:crosses val="autoZero"/>
        <c:auto val="1"/>
        <c:lblAlgn val="ctr"/>
        <c:lblOffset val="100"/>
      </c:catAx>
      <c:valAx>
        <c:axId val="80801792"/>
        <c:scaling>
          <c:orientation val="minMax"/>
          <c:max val="2"/>
        </c:scaling>
        <c:axPos val="l"/>
        <c:majorGridlines/>
        <c:numFmt formatCode="General" sourceLinked="1"/>
        <c:majorTickMark val="cross"/>
        <c:tickLblPos val="nextTo"/>
        <c:crossAx val="80712064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"/>
          <c:y val="0.83256561679790031"/>
          <c:w val="0.21856955380577436"/>
          <c:h val="0.16743438320209991"/>
        </c:manualLayout>
      </c:layout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'2010'!$A$14</c:f>
              <c:strCache>
                <c:ptCount val="1"/>
                <c:pt idx="0">
                  <c:v>Čečelovice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'2010'!$B$14:$N$14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-2</c:v>
                </c:pt>
                <c:pt idx="7">
                  <c:v>-1</c:v>
                </c:pt>
                <c:pt idx="8">
                  <c:v>0</c:v>
                </c:pt>
                <c:pt idx="9">
                  <c:v>0</c:v>
                </c:pt>
                <c:pt idx="10">
                  <c:v>-1</c:v>
                </c:pt>
                <c:pt idx="11">
                  <c:v>-1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'2010'!$A$15</c:f>
              <c:strCache>
                <c:ptCount val="1"/>
                <c:pt idx="0">
                  <c:v>Čečelovice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'2010'!$B$15:$N$15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-1</c:v>
                </c:pt>
                <c:pt idx="7">
                  <c:v>-1</c:v>
                </c:pt>
                <c:pt idx="8">
                  <c:v>0</c:v>
                </c:pt>
                <c:pt idx="9">
                  <c:v>-1</c:v>
                </c:pt>
                <c:pt idx="10">
                  <c:v>-1</c:v>
                </c:pt>
                <c:pt idx="11">
                  <c:v>0</c:v>
                </c:pt>
                <c:pt idx="12">
                  <c:v>-1</c:v>
                </c:pt>
              </c:numCache>
            </c:numRef>
          </c:val>
        </c:ser>
        <c:axId val="80904192"/>
        <c:axId val="80905728"/>
      </c:radarChart>
      <c:catAx>
        <c:axId val="80904192"/>
        <c:scaling>
          <c:orientation val="minMax"/>
        </c:scaling>
        <c:axPos val="b"/>
        <c:majorGridlines/>
        <c:numFmt formatCode="General" sourceLinked="1"/>
        <c:tickLblPos val="nextTo"/>
        <c:crossAx val="80905728"/>
        <c:crosses val="autoZero"/>
        <c:auto val="1"/>
        <c:lblAlgn val="ctr"/>
        <c:lblOffset val="100"/>
      </c:catAx>
      <c:valAx>
        <c:axId val="80905728"/>
        <c:scaling>
          <c:orientation val="minMax"/>
          <c:max val="2"/>
        </c:scaling>
        <c:axPos val="l"/>
        <c:majorGridlines/>
        <c:numFmt formatCode="General" sourceLinked="1"/>
        <c:majorTickMark val="cross"/>
        <c:tickLblPos val="nextTo"/>
        <c:crossAx val="80904192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1.0137795275590455E-3"/>
          <c:y val="0.82831984543598713"/>
          <c:w val="0.26565288713910784"/>
          <c:h val="0.16743438320209991"/>
        </c:manualLayout>
      </c:layout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plotArea>
      <c:layout/>
      <c:radarChart>
        <c:radarStyle val="marker"/>
        <c:ser>
          <c:idx val="0"/>
          <c:order val="0"/>
          <c:tx>
            <c:strRef>
              <c:f>'2010'!$A$16</c:f>
              <c:strCache>
                <c:ptCount val="1"/>
                <c:pt idx="0">
                  <c:v>Hajany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'2010'!$B$16:$N$16</c:f>
              <c:numCache>
                <c:formatCode>General</c:formatCode>
                <c:ptCount val="13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  <c:pt idx="12">
                  <c:v>-2</c:v>
                </c:pt>
              </c:numCache>
            </c:numRef>
          </c:val>
        </c:ser>
        <c:ser>
          <c:idx val="1"/>
          <c:order val="1"/>
          <c:tx>
            <c:strRef>
              <c:f>'2010'!$A$17</c:f>
              <c:strCache>
                <c:ptCount val="1"/>
                <c:pt idx="0">
                  <c:v>Hajany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'2010'!$B$17:$N$17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-1</c:v>
                </c:pt>
                <c:pt idx="5">
                  <c:v>1</c:v>
                </c:pt>
                <c:pt idx="6">
                  <c:v>0</c:v>
                </c:pt>
                <c:pt idx="7">
                  <c:v>-1</c:v>
                </c:pt>
                <c:pt idx="8">
                  <c:v>2</c:v>
                </c:pt>
                <c:pt idx="9">
                  <c:v>-1</c:v>
                </c:pt>
                <c:pt idx="10">
                  <c:v>0</c:v>
                </c:pt>
                <c:pt idx="11">
                  <c:v>2</c:v>
                </c:pt>
                <c:pt idx="12">
                  <c:v>-1</c:v>
                </c:pt>
              </c:numCache>
            </c:numRef>
          </c:val>
        </c:ser>
        <c:axId val="81309696"/>
        <c:axId val="81313152"/>
      </c:radarChart>
      <c:catAx>
        <c:axId val="81309696"/>
        <c:scaling>
          <c:orientation val="minMax"/>
        </c:scaling>
        <c:axPos val="b"/>
        <c:majorGridlines/>
        <c:numFmt formatCode="General" sourceLinked="1"/>
        <c:tickLblPos val="nextTo"/>
        <c:crossAx val="81313152"/>
        <c:crosses val="autoZero"/>
        <c:auto val="1"/>
        <c:lblAlgn val="ctr"/>
        <c:lblOffset val="100"/>
      </c:catAx>
      <c:valAx>
        <c:axId val="81313152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8130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193350831146391E-3"/>
          <c:y val="0.82831984543598713"/>
          <c:w val="0.22368066491688529"/>
          <c:h val="0.16743438320209991"/>
        </c:manualLayout>
      </c:layout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plotArea>
      <c:layout/>
      <c:radarChart>
        <c:radarStyle val="marker"/>
        <c:ser>
          <c:idx val="0"/>
          <c:order val="0"/>
          <c:tx>
            <c:strRef>
              <c:f>'2010'!$A$18</c:f>
              <c:strCache>
                <c:ptCount val="1"/>
                <c:pt idx="0">
                  <c:v>Hornosín 2010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'2010'!$B$18:$N$18</c:f>
              <c:numCache>
                <c:formatCode>General</c:formatCode>
                <c:ptCount val="13"/>
                <c:pt idx="0">
                  <c:v>-1</c:v>
                </c:pt>
                <c:pt idx="1">
                  <c:v>1</c:v>
                </c:pt>
                <c:pt idx="2">
                  <c:v>0</c:v>
                </c:pt>
                <c:pt idx="3">
                  <c:v>-1</c:v>
                </c:pt>
                <c:pt idx="4">
                  <c:v>-1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2</c:v>
                </c:pt>
                <c:pt idx="12">
                  <c:v>-1</c:v>
                </c:pt>
              </c:numCache>
            </c:numRef>
          </c:val>
        </c:ser>
        <c:ser>
          <c:idx val="1"/>
          <c:order val="1"/>
          <c:tx>
            <c:strRef>
              <c:f>'2010'!$A$19</c:f>
              <c:strCache>
                <c:ptCount val="1"/>
                <c:pt idx="0">
                  <c:v>Hornosín 2012</c:v>
                </c:pt>
              </c:strCache>
            </c:strRef>
          </c:tx>
          <c:marker>
            <c:symbol val="none"/>
          </c:marker>
          <c:cat>
            <c:numRef>
              <c:f>'2010'!$B$1:$N$1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'2010'!$B$19:$N$19</c:f>
              <c:numCache>
                <c:formatCode>General</c:formatCode>
                <c:ptCount val="13"/>
                <c:pt idx="0">
                  <c:v>-2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-2</c:v>
                </c:pt>
                <c:pt idx="9">
                  <c:v>-1</c:v>
                </c:pt>
                <c:pt idx="10">
                  <c:v>-1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</c:ser>
        <c:axId val="113698688"/>
        <c:axId val="113703936"/>
      </c:radarChart>
      <c:catAx>
        <c:axId val="113698688"/>
        <c:scaling>
          <c:orientation val="minMax"/>
        </c:scaling>
        <c:axPos val="b"/>
        <c:majorGridlines/>
        <c:numFmt formatCode="General" sourceLinked="1"/>
        <c:tickLblPos val="nextTo"/>
        <c:crossAx val="113703936"/>
        <c:crosses val="autoZero"/>
        <c:auto val="1"/>
        <c:lblAlgn val="ctr"/>
        <c:lblOffset val="100"/>
      </c:catAx>
      <c:valAx>
        <c:axId val="11370393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13698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33333333333384E-3"/>
          <c:y val="0.82831984543598713"/>
          <c:w val="0.2486666666666667"/>
          <c:h val="0.16743438320209991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14</Pages>
  <Words>680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peterka</dc:creator>
  <cp:lastModifiedBy>peterka</cp:lastModifiedBy>
  <cp:revision>3</cp:revision>
  <dcterms:created xsi:type="dcterms:W3CDTF">2012-12-06T06:06:00Z</dcterms:created>
  <dcterms:modified xsi:type="dcterms:W3CDTF">2012-12-07T06:15:00Z</dcterms:modified>
</cp:coreProperties>
</file>